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141A" w14:textId="77777777" w:rsidR="00076352" w:rsidRPr="00863900" w:rsidRDefault="00076352" w:rsidP="00076352">
      <w:pPr>
        <w:spacing w:after="200" w:line="276" w:lineRule="auto"/>
        <w:jc w:val="center"/>
        <w:rPr>
          <w:sz w:val="32"/>
          <w:szCs w:val="32"/>
          <w:u w:val="single"/>
        </w:rPr>
      </w:pPr>
      <w:r w:rsidRPr="00863900">
        <w:rPr>
          <w:sz w:val="32"/>
          <w:szCs w:val="32"/>
          <w:u w:val="single"/>
        </w:rPr>
        <w:t xml:space="preserve">Department of Housing </w:t>
      </w:r>
    </w:p>
    <w:p w14:paraId="1F8EE504" w14:textId="77777777" w:rsidR="00076352" w:rsidRPr="00863900" w:rsidRDefault="00076352" w:rsidP="00076352">
      <w:pPr>
        <w:spacing w:after="200" w:line="276" w:lineRule="auto"/>
        <w:jc w:val="center"/>
        <w:rPr>
          <w:sz w:val="32"/>
          <w:szCs w:val="32"/>
          <w:u w:val="single"/>
        </w:rPr>
      </w:pPr>
      <w:r w:rsidRPr="00863900">
        <w:rPr>
          <w:sz w:val="32"/>
          <w:szCs w:val="32"/>
          <w:u w:val="single"/>
        </w:rPr>
        <w:t>Rental Assistance Program</w:t>
      </w:r>
    </w:p>
    <w:p w14:paraId="47F48D70" w14:textId="77777777" w:rsidR="00076352" w:rsidRPr="00863900" w:rsidRDefault="00076352" w:rsidP="00076352">
      <w:pPr>
        <w:spacing w:after="200" w:line="276" w:lineRule="auto"/>
        <w:jc w:val="center"/>
        <w:rPr>
          <w:sz w:val="32"/>
          <w:szCs w:val="32"/>
          <w:u w:val="single"/>
        </w:rPr>
      </w:pPr>
      <w:r w:rsidRPr="00863900">
        <w:rPr>
          <w:sz w:val="32"/>
          <w:szCs w:val="32"/>
          <w:u w:val="single"/>
        </w:rPr>
        <w:t>And</w:t>
      </w:r>
    </w:p>
    <w:p w14:paraId="0BE2EA5E" w14:textId="77777777" w:rsidR="00076352" w:rsidRPr="00863900" w:rsidRDefault="00076352" w:rsidP="00076352">
      <w:pPr>
        <w:spacing w:after="200" w:line="276" w:lineRule="auto"/>
        <w:jc w:val="center"/>
        <w:rPr>
          <w:sz w:val="32"/>
          <w:szCs w:val="32"/>
          <w:u w:val="single"/>
        </w:rPr>
      </w:pPr>
      <w:r w:rsidRPr="00863900">
        <w:rPr>
          <w:sz w:val="32"/>
          <w:szCs w:val="32"/>
          <w:u w:val="single"/>
        </w:rPr>
        <w:t>Section 8 Housing Choice Voucher Program</w:t>
      </w:r>
    </w:p>
    <w:p w14:paraId="1B45C21C" w14:textId="77777777" w:rsidR="00076352" w:rsidRPr="00863900" w:rsidRDefault="00076352" w:rsidP="00076352">
      <w:pPr>
        <w:spacing w:after="200" w:line="276" w:lineRule="auto"/>
        <w:jc w:val="center"/>
        <w:rPr>
          <w:sz w:val="28"/>
          <w:szCs w:val="28"/>
          <w:u w:val="single"/>
        </w:rPr>
      </w:pPr>
    </w:p>
    <w:p w14:paraId="5E347B38" w14:textId="1F808C1D" w:rsidR="00076352" w:rsidRPr="00863900" w:rsidRDefault="00FE47A7" w:rsidP="00076352">
      <w:pPr>
        <w:spacing w:after="200" w:line="276" w:lineRule="auto"/>
        <w:jc w:val="center"/>
        <w:rPr>
          <w:sz w:val="28"/>
          <w:szCs w:val="28"/>
          <w:u w:val="single"/>
        </w:rPr>
      </w:pPr>
      <w:r>
        <w:rPr>
          <w:noProof/>
        </w:rPr>
        <w:drawing>
          <wp:anchor distT="0" distB="0" distL="114300" distR="114300" simplePos="0" relativeHeight="251657728" behindDoc="0" locked="0" layoutInCell="0" allowOverlap="1" wp14:anchorId="6236210A" wp14:editId="5E19D155">
            <wp:simplePos x="0" y="0"/>
            <wp:positionH relativeFrom="column">
              <wp:posOffset>1860550</wp:posOffset>
            </wp:positionH>
            <wp:positionV relativeFrom="paragraph">
              <wp:posOffset>290195</wp:posOffset>
            </wp:positionV>
            <wp:extent cx="2117090" cy="1922780"/>
            <wp:effectExtent l="0" t="0" r="0" b="0"/>
            <wp:wrapSquare wrapText="bothSides"/>
            <wp:docPr id="85012416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7090" cy="192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80563" w14:textId="77777777" w:rsidR="00076352" w:rsidRPr="00863900" w:rsidRDefault="00076352" w:rsidP="00076352">
      <w:pPr>
        <w:spacing w:after="200" w:line="276" w:lineRule="auto"/>
        <w:jc w:val="center"/>
        <w:rPr>
          <w:sz w:val="28"/>
          <w:szCs w:val="28"/>
          <w:u w:val="single"/>
        </w:rPr>
      </w:pPr>
    </w:p>
    <w:p w14:paraId="17A36BFA" w14:textId="77777777" w:rsidR="00076352" w:rsidRPr="00863900" w:rsidRDefault="00076352" w:rsidP="00076352">
      <w:pPr>
        <w:spacing w:after="200" w:line="276" w:lineRule="auto"/>
        <w:jc w:val="center"/>
        <w:rPr>
          <w:sz w:val="28"/>
          <w:szCs w:val="28"/>
          <w:u w:val="single"/>
        </w:rPr>
      </w:pPr>
    </w:p>
    <w:p w14:paraId="73721475" w14:textId="77777777" w:rsidR="00076352" w:rsidRPr="00863900" w:rsidRDefault="00076352" w:rsidP="00076352">
      <w:pPr>
        <w:spacing w:after="200" w:line="276" w:lineRule="auto"/>
        <w:jc w:val="center"/>
        <w:rPr>
          <w:sz w:val="28"/>
          <w:szCs w:val="28"/>
          <w:u w:val="single"/>
        </w:rPr>
      </w:pPr>
    </w:p>
    <w:p w14:paraId="7A87C702" w14:textId="77777777" w:rsidR="00076352" w:rsidRPr="00863900" w:rsidRDefault="00076352" w:rsidP="00076352">
      <w:pPr>
        <w:spacing w:after="200" w:line="276" w:lineRule="auto"/>
        <w:jc w:val="center"/>
        <w:rPr>
          <w:sz w:val="28"/>
          <w:szCs w:val="28"/>
          <w:u w:val="single"/>
        </w:rPr>
      </w:pPr>
    </w:p>
    <w:p w14:paraId="45EA9754" w14:textId="77777777" w:rsidR="00076352" w:rsidRPr="00863900" w:rsidRDefault="00076352" w:rsidP="00076352">
      <w:pPr>
        <w:spacing w:after="200" w:line="276" w:lineRule="auto"/>
        <w:jc w:val="center"/>
        <w:rPr>
          <w:sz w:val="28"/>
          <w:szCs w:val="28"/>
          <w:u w:val="single"/>
        </w:rPr>
      </w:pPr>
    </w:p>
    <w:p w14:paraId="53BC583E" w14:textId="77777777" w:rsidR="00076352" w:rsidRPr="00863900" w:rsidRDefault="00076352" w:rsidP="00076352">
      <w:pPr>
        <w:spacing w:after="200" w:line="276" w:lineRule="auto"/>
        <w:jc w:val="center"/>
        <w:rPr>
          <w:sz w:val="28"/>
          <w:szCs w:val="28"/>
          <w:u w:val="single"/>
        </w:rPr>
      </w:pPr>
    </w:p>
    <w:p w14:paraId="7B921D7C" w14:textId="77777777" w:rsidR="00076352" w:rsidRPr="00863900" w:rsidRDefault="00076352" w:rsidP="00076352">
      <w:pPr>
        <w:spacing w:after="200" w:line="276" w:lineRule="auto"/>
        <w:jc w:val="center"/>
        <w:rPr>
          <w:sz w:val="28"/>
          <w:szCs w:val="28"/>
          <w:u w:val="single"/>
        </w:rPr>
      </w:pPr>
    </w:p>
    <w:p w14:paraId="2F820B85" w14:textId="77777777" w:rsidR="00076352" w:rsidRPr="00863900" w:rsidRDefault="00076352" w:rsidP="00076352">
      <w:pPr>
        <w:spacing w:after="200" w:line="276" w:lineRule="auto"/>
        <w:jc w:val="center"/>
        <w:rPr>
          <w:sz w:val="28"/>
          <w:szCs w:val="28"/>
          <w:u w:val="single"/>
        </w:rPr>
      </w:pPr>
    </w:p>
    <w:p w14:paraId="2B00AF54" w14:textId="77777777" w:rsidR="00076352" w:rsidRPr="00863900" w:rsidRDefault="00076352" w:rsidP="00076352">
      <w:pPr>
        <w:spacing w:after="200" w:line="276" w:lineRule="auto"/>
        <w:jc w:val="center"/>
        <w:rPr>
          <w:sz w:val="28"/>
          <w:szCs w:val="28"/>
          <w:u w:val="single"/>
        </w:rPr>
      </w:pPr>
    </w:p>
    <w:p w14:paraId="54530454" w14:textId="77777777" w:rsidR="00076352" w:rsidRPr="00863900" w:rsidRDefault="00076352" w:rsidP="00076352">
      <w:pPr>
        <w:spacing w:after="200" w:line="276" w:lineRule="auto"/>
        <w:jc w:val="center"/>
        <w:rPr>
          <w:sz w:val="28"/>
          <w:szCs w:val="28"/>
          <w:u w:val="single"/>
        </w:rPr>
      </w:pPr>
    </w:p>
    <w:p w14:paraId="0FD9EA0D" w14:textId="77777777" w:rsidR="00076352" w:rsidRPr="00863900" w:rsidRDefault="00076352" w:rsidP="00076352">
      <w:pPr>
        <w:spacing w:after="200" w:line="276" w:lineRule="auto"/>
        <w:jc w:val="center"/>
        <w:rPr>
          <w:sz w:val="28"/>
          <w:szCs w:val="28"/>
        </w:rPr>
      </w:pPr>
      <w:r w:rsidRPr="00863900">
        <w:rPr>
          <w:sz w:val="28"/>
          <w:szCs w:val="28"/>
        </w:rPr>
        <w:t>Department of Housing</w:t>
      </w:r>
    </w:p>
    <w:p w14:paraId="35F4BEE7" w14:textId="77777777" w:rsidR="00076352" w:rsidRPr="00863900" w:rsidRDefault="00076352" w:rsidP="00076352">
      <w:pPr>
        <w:spacing w:after="200" w:line="276" w:lineRule="auto"/>
        <w:jc w:val="center"/>
        <w:rPr>
          <w:sz w:val="28"/>
          <w:szCs w:val="28"/>
        </w:rPr>
      </w:pPr>
      <w:r w:rsidRPr="00863900">
        <w:rPr>
          <w:sz w:val="28"/>
          <w:szCs w:val="28"/>
        </w:rPr>
        <w:t>505 Hudson Street</w:t>
      </w:r>
    </w:p>
    <w:p w14:paraId="094C7704" w14:textId="77777777" w:rsidR="00076352" w:rsidRPr="00863900" w:rsidRDefault="00076352" w:rsidP="00076352">
      <w:pPr>
        <w:spacing w:after="200" w:line="276" w:lineRule="auto"/>
        <w:jc w:val="center"/>
        <w:rPr>
          <w:sz w:val="28"/>
          <w:szCs w:val="28"/>
        </w:rPr>
      </w:pPr>
      <w:r w:rsidRPr="00863900">
        <w:rPr>
          <w:sz w:val="28"/>
          <w:szCs w:val="28"/>
        </w:rPr>
        <w:t>Hartford, CT  06106</w:t>
      </w:r>
      <w:r w:rsidRPr="00863900">
        <w:rPr>
          <w:sz w:val="28"/>
          <w:szCs w:val="28"/>
          <w:u w:val="single"/>
        </w:rPr>
        <w:br w:type="page"/>
      </w:r>
    </w:p>
    <w:p w14:paraId="557E98C9" w14:textId="77777777" w:rsidR="00076352" w:rsidRPr="00863900" w:rsidRDefault="00076352" w:rsidP="00076352">
      <w:pPr>
        <w:spacing w:after="160" w:line="276" w:lineRule="auto"/>
        <w:rPr>
          <w:rFonts w:ascii="Times New Roman" w:hAnsi="Times New Roman"/>
          <w:sz w:val="24"/>
          <w:szCs w:val="24"/>
        </w:rPr>
      </w:pPr>
      <w:r w:rsidRPr="00863900">
        <w:rPr>
          <w:rFonts w:ascii="Times New Roman" w:hAnsi="Times New Roman"/>
          <w:sz w:val="24"/>
          <w:szCs w:val="24"/>
        </w:rPr>
        <w:lastRenderedPageBreak/>
        <w:t>Pursuant to PA 13-234, the Department of Housing has the responsibility for administering the Rental Assistance Program (RAP) and the Housing Choice Voucher Section 8 Program (HCV).  The requirements for this report are as follows:</w:t>
      </w:r>
    </w:p>
    <w:p w14:paraId="74B84A08" w14:textId="77777777" w:rsidR="00076352" w:rsidRPr="00863900" w:rsidRDefault="00076352" w:rsidP="00076352">
      <w:pPr>
        <w:spacing w:after="160" w:line="276" w:lineRule="auto"/>
        <w:rPr>
          <w:rFonts w:ascii="Times New Roman" w:hAnsi="Times New Roman"/>
          <w:color w:val="000000"/>
          <w:sz w:val="24"/>
          <w:szCs w:val="24"/>
        </w:rPr>
      </w:pPr>
      <w:r w:rsidRPr="00863900">
        <w:rPr>
          <w:rFonts w:ascii="Times New Roman" w:hAnsi="Times New Roman"/>
          <w:color w:val="000000"/>
          <w:sz w:val="24"/>
          <w:szCs w:val="24"/>
        </w:rPr>
        <w:t>PA 13-234, Section 69 (NEW) (</w:t>
      </w:r>
      <w:r w:rsidRPr="00863900">
        <w:rPr>
          <w:rFonts w:ascii="Times New Roman" w:hAnsi="Times New Roman"/>
          <w:i/>
          <w:iCs/>
          <w:color w:val="000000"/>
          <w:sz w:val="24"/>
          <w:szCs w:val="24"/>
        </w:rPr>
        <w:t>Effective July 1, 2013</w:t>
      </w:r>
      <w:r w:rsidRPr="00863900">
        <w:rPr>
          <w:rFonts w:ascii="Times New Roman" w:hAnsi="Times New Roman"/>
          <w:color w:val="000000"/>
          <w:sz w:val="24"/>
          <w:szCs w:val="24"/>
        </w:rPr>
        <w:t>) Not later than January 1, 2014, and annually thereafter, the Commissioner of Housing, in consultation with the Commissioners of Social Services, Children and Families, Mental Health and Addiction Services and the Department of Developmental Services, shall submit a report, in accordance with the requirements of section 11-4a of the general statutes, on the number of departmental clients and the number who have been recipients of rental assistance certificates to the joint standing committees of the General Assembly having cognizance of matters relating to appropriations, housing, human services and public health. Such report shall detail the utilization of the rental assistance vouchers issued pursuant to sections 17b-811a to 17b-815, inclusive, of the general statutes and establish targets to ensure that rental assistance program resources are allocated in accordance with legislative intent.</w:t>
      </w:r>
    </w:p>
    <w:p w14:paraId="5CFD0E24" w14:textId="77777777" w:rsidR="00076352" w:rsidRPr="00863900" w:rsidRDefault="00076352" w:rsidP="00076352">
      <w:pPr>
        <w:spacing w:after="160" w:line="276" w:lineRule="auto"/>
        <w:rPr>
          <w:rFonts w:ascii="Times New Roman" w:hAnsi="Times New Roman"/>
          <w:color w:val="000000"/>
          <w:sz w:val="24"/>
          <w:szCs w:val="24"/>
        </w:rPr>
      </w:pPr>
      <w:r w:rsidRPr="00863900">
        <w:rPr>
          <w:rFonts w:ascii="Times New Roman" w:hAnsi="Times New Roman"/>
          <w:color w:val="000000"/>
          <w:sz w:val="24"/>
          <w:szCs w:val="24"/>
        </w:rPr>
        <w:t xml:space="preserve">The following pages of this report will break out the RAP program and the HCV program with descriptions of the subsidy categories and the numbers served in each during </w:t>
      </w:r>
      <w:r w:rsidR="0086328F">
        <w:rPr>
          <w:rFonts w:ascii="Times New Roman" w:hAnsi="Times New Roman"/>
          <w:color w:val="000000"/>
          <w:sz w:val="24"/>
          <w:szCs w:val="24"/>
        </w:rPr>
        <w:t>state fis</w:t>
      </w:r>
      <w:r w:rsidR="002872A9">
        <w:rPr>
          <w:rFonts w:ascii="Times New Roman" w:hAnsi="Times New Roman"/>
          <w:color w:val="000000"/>
          <w:sz w:val="24"/>
          <w:szCs w:val="24"/>
        </w:rPr>
        <w:t>cal year 202</w:t>
      </w:r>
      <w:r w:rsidR="001A56C9">
        <w:rPr>
          <w:rFonts w:ascii="Times New Roman" w:hAnsi="Times New Roman"/>
          <w:color w:val="000000"/>
          <w:sz w:val="24"/>
          <w:szCs w:val="24"/>
        </w:rPr>
        <w:t>4</w:t>
      </w:r>
      <w:r w:rsidRPr="00863900">
        <w:rPr>
          <w:rFonts w:ascii="Times New Roman" w:hAnsi="Times New Roman"/>
          <w:color w:val="000000"/>
          <w:sz w:val="24"/>
          <w:szCs w:val="24"/>
        </w:rPr>
        <w:t>.</w:t>
      </w:r>
    </w:p>
    <w:p w14:paraId="73145105" w14:textId="77777777" w:rsidR="00076352" w:rsidRPr="00863900" w:rsidRDefault="00076352" w:rsidP="00076352">
      <w:pPr>
        <w:spacing w:after="200" w:line="276" w:lineRule="auto"/>
        <w:rPr>
          <w:sz w:val="28"/>
          <w:szCs w:val="28"/>
        </w:rPr>
      </w:pPr>
    </w:p>
    <w:p w14:paraId="6D7513C4" w14:textId="77777777" w:rsidR="00076352" w:rsidRPr="00863900" w:rsidRDefault="00076352" w:rsidP="00076352">
      <w:pPr>
        <w:spacing w:after="200" w:line="276" w:lineRule="auto"/>
        <w:jc w:val="center"/>
        <w:rPr>
          <w:sz w:val="28"/>
          <w:szCs w:val="28"/>
          <w:u w:val="single"/>
        </w:rPr>
      </w:pPr>
    </w:p>
    <w:p w14:paraId="3F843639" w14:textId="77777777" w:rsidR="00076352" w:rsidRPr="00863900" w:rsidRDefault="00076352" w:rsidP="00076352">
      <w:pPr>
        <w:spacing w:after="200" w:line="276" w:lineRule="auto"/>
        <w:jc w:val="center"/>
        <w:rPr>
          <w:sz w:val="28"/>
          <w:szCs w:val="28"/>
          <w:u w:val="single"/>
        </w:rPr>
      </w:pPr>
    </w:p>
    <w:p w14:paraId="4E20F176" w14:textId="77777777" w:rsidR="00076352" w:rsidRPr="00863900" w:rsidRDefault="00076352" w:rsidP="00076352">
      <w:pPr>
        <w:spacing w:after="200" w:line="276" w:lineRule="auto"/>
        <w:jc w:val="center"/>
        <w:rPr>
          <w:sz w:val="28"/>
          <w:szCs w:val="28"/>
          <w:u w:val="single"/>
        </w:rPr>
      </w:pPr>
    </w:p>
    <w:p w14:paraId="60DC2404" w14:textId="77777777" w:rsidR="00076352" w:rsidRPr="00863900" w:rsidRDefault="00076352" w:rsidP="00076352">
      <w:pPr>
        <w:spacing w:after="200" w:line="276" w:lineRule="auto"/>
        <w:jc w:val="center"/>
        <w:rPr>
          <w:sz w:val="28"/>
          <w:szCs w:val="28"/>
          <w:u w:val="single"/>
        </w:rPr>
      </w:pPr>
    </w:p>
    <w:p w14:paraId="785E99B9" w14:textId="77777777" w:rsidR="00076352" w:rsidRPr="00863900" w:rsidRDefault="00076352" w:rsidP="00076352">
      <w:pPr>
        <w:spacing w:after="200" w:line="276" w:lineRule="auto"/>
        <w:jc w:val="center"/>
        <w:rPr>
          <w:sz w:val="28"/>
          <w:szCs w:val="28"/>
          <w:u w:val="single"/>
        </w:rPr>
      </w:pPr>
    </w:p>
    <w:p w14:paraId="603C3A1A" w14:textId="77777777" w:rsidR="00076352" w:rsidRPr="00863900" w:rsidRDefault="00076352" w:rsidP="00076352">
      <w:pPr>
        <w:spacing w:after="200" w:line="276" w:lineRule="auto"/>
        <w:jc w:val="center"/>
        <w:rPr>
          <w:sz w:val="28"/>
          <w:szCs w:val="28"/>
          <w:u w:val="single"/>
        </w:rPr>
      </w:pPr>
    </w:p>
    <w:p w14:paraId="018DE6DE" w14:textId="77777777" w:rsidR="00076352" w:rsidRPr="00863900" w:rsidRDefault="00076352" w:rsidP="00076352">
      <w:pPr>
        <w:spacing w:after="200" w:line="276" w:lineRule="auto"/>
        <w:jc w:val="center"/>
        <w:rPr>
          <w:sz w:val="28"/>
          <w:szCs w:val="28"/>
          <w:u w:val="single"/>
        </w:rPr>
      </w:pPr>
    </w:p>
    <w:p w14:paraId="3BDE89F2" w14:textId="77777777" w:rsidR="00076352" w:rsidRPr="00863900" w:rsidRDefault="00076352" w:rsidP="00076352">
      <w:pPr>
        <w:spacing w:after="200" w:line="276" w:lineRule="auto"/>
        <w:jc w:val="center"/>
        <w:rPr>
          <w:sz w:val="28"/>
          <w:szCs w:val="28"/>
          <w:u w:val="single"/>
        </w:rPr>
      </w:pPr>
    </w:p>
    <w:p w14:paraId="635EE4B3" w14:textId="77777777" w:rsidR="00076352" w:rsidRPr="00863900" w:rsidRDefault="00076352" w:rsidP="00076352">
      <w:pPr>
        <w:spacing w:after="200" w:line="276" w:lineRule="auto"/>
        <w:jc w:val="center"/>
        <w:rPr>
          <w:sz w:val="28"/>
          <w:szCs w:val="28"/>
          <w:u w:val="single"/>
        </w:rPr>
      </w:pPr>
    </w:p>
    <w:p w14:paraId="4A789FE3" w14:textId="77777777" w:rsidR="00076352" w:rsidRDefault="00076352" w:rsidP="00076352">
      <w:pPr>
        <w:spacing w:after="200" w:line="276" w:lineRule="auto"/>
        <w:jc w:val="center"/>
        <w:rPr>
          <w:sz w:val="28"/>
          <w:szCs w:val="28"/>
          <w:u w:val="single"/>
        </w:rPr>
      </w:pPr>
    </w:p>
    <w:p w14:paraId="6EE6B323" w14:textId="77777777" w:rsidR="00FE47A7" w:rsidRPr="00863900" w:rsidRDefault="00FE47A7" w:rsidP="00076352">
      <w:pPr>
        <w:spacing w:after="200" w:line="276" w:lineRule="auto"/>
        <w:jc w:val="center"/>
        <w:rPr>
          <w:sz w:val="28"/>
          <w:szCs w:val="28"/>
          <w:u w:val="single"/>
        </w:rPr>
      </w:pPr>
    </w:p>
    <w:p w14:paraId="109AA0C8" w14:textId="77777777" w:rsidR="00076352" w:rsidRPr="006E6C06" w:rsidRDefault="00076352" w:rsidP="00076352">
      <w:pPr>
        <w:spacing w:after="200" w:line="276" w:lineRule="auto"/>
        <w:jc w:val="center"/>
        <w:rPr>
          <w:rFonts w:ascii="Times New Roman" w:hAnsi="Times New Roman"/>
          <w:b/>
          <w:bCs/>
          <w:sz w:val="36"/>
          <w:szCs w:val="36"/>
        </w:rPr>
      </w:pPr>
      <w:r w:rsidRPr="006E6C06">
        <w:rPr>
          <w:rFonts w:ascii="Times New Roman" w:hAnsi="Times New Roman"/>
          <w:b/>
          <w:bCs/>
          <w:sz w:val="36"/>
          <w:szCs w:val="36"/>
        </w:rPr>
        <w:lastRenderedPageBreak/>
        <w:t>Department of Housing Rental Assistance Programs</w:t>
      </w:r>
    </w:p>
    <w:p w14:paraId="1716DFEA" w14:textId="77777777" w:rsidR="00076352" w:rsidRPr="006E6C06" w:rsidRDefault="00076352" w:rsidP="00FE47A7">
      <w:pPr>
        <w:pStyle w:val="Style1"/>
      </w:pPr>
      <w:r w:rsidRPr="006E6C06">
        <w:t>Connecticut Section 8 Housing Choice Voucher Program</w:t>
      </w:r>
    </w:p>
    <w:p w14:paraId="6398E3E1" w14:textId="77777777" w:rsidR="00076352" w:rsidRPr="00863900" w:rsidRDefault="00076352" w:rsidP="0086328F">
      <w:pPr>
        <w:spacing w:after="200"/>
        <w:jc w:val="both"/>
        <w:rPr>
          <w:rFonts w:ascii="Times New Roman" w:hAnsi="Times New Roman"/>
          <w:color w:val="000000"/>
        </w:rPr>
      </w:pPr>
      <w:r w:rsidRPr="00863900">
        <w:rPr>
          <w:rFonts w:ascii="Times New Roman" w:eastAsia="Times New Roman" w:hAnsi="Times New Roman"/>
        </w:rPr>
        <w:t xml:space="preserve">The Housing Choice Voucher Program (HCV) is the federal government’s largest program for assisting very </w:t>
      </w:r>
      <w:r w:rsidR="00A21BFF" w:rsidRPr="00863900">
        <w:rPr>
          <w:rFonts w:ascii="Times New Roman" w:eastAsia="Times New Roman" w:hAnsi="Times New Roman"/>
        </w:rPr>
        <w:t>low-income</w:t>
      </w:r>
      <w:r w:rsidRPr="00863900">
        <w:rPr>
          <w:rFonts w:ascii="Times New Roman" w:eastAsia="Times New Roman" w:hAnsi="Times New Roman"/>
        </w:rPr>
        <w:t xml:space="preserve"> families to afford decent, safe and sanitary housing in the private market.  The U.S. Department of Housing and Urban Development (HUD) contracts with Public Housing Authorities (PHA) to administer the program.  The State Department of Housing (DOH) is one of 40 PHA’s in Connecticut that administers the HCV program and the only PHA that is allowed to administer the program throughout the entire State of Connecticut.  </w:t>
      </w:r>
      <w:r w:rsidRPr="00863900">
        <w:rPr>
          <w:rFonts w:ascii="Times New Roman" w:hAnsi="Times New Roman"/>
          <w:color w:val="000000"/>
        </w:rPr>
        <w:t xml:space="preserve">The Department of Housing funds four categories of HCV Housing Choice Voucher Tenant Based Rental Assistance Program, Family Unification Program, Veteran’s Affairs Supportive Housing and Project Based Vouchers.  </w:t>
      </w:r>
    </w:p>
    <w:p w14:paraId="7B6B20B3" w14:textId="77777777" w:rsidR="00076352" w:rsidRPr="00863900" w:rsidRDefault="00076352" w:rsidP="00FE47A7">
      <w:pPr>
        <w:pStyle w:val="Style2"/>
      </w:pPr>
      <w:r w:rsidRPr="00863900">
        <w:t>Housing Choice Voucher Tenant Based Rental Assistance Program</w:t>
      </w:r>
    </w:p>
    <w:p w14:paraId="57D27DCB" w14:textId="77777777" w:rsidR="00076352" w:rsidRPr="0086328F" w:rsidRDefault="00076352" w:rsidP="0086328F">
      <w:pPr>
        <w:spacing w:after="200"/>
        <w:jc w:val="both"/>
        <w:rPr>
          <w:rFonts w:ascii="Times New Roman" w:eastAsia="Times New Roman" w:hAnsi="Times New Roman"/>
        </w:rPr>
      </w:pPr>
      <w:r w:rsidRPr="00863900">
        <w:rPr>
          <w:rFonts w:ascii="Times New Roman" w:eastAsia="Times New Roman" w:hAnsi="Times New Roman"/>
        </w:rPr>
        <w:t xml:space="preserve">The </w:t>
      </w:r>
      <w:r w:rsidRPr="00863900">
        <w:rPr>
          <w:rFonts w:ascii="Times New Roman" w:eastAsia="Times New Roman" w:hAnsi="Times New Roman"/>
          <w:bCs/>
        </w:rPr>
        <w:t xml:space="preserve">Housing Choice Voucher (HCV) </w:t>
      </w:r>
      <w:r w:rsidRPr="00863900">
        <w:rPr>
          <w:rFonts w:ascii="Times New Roman" w:eastAsia="Times New Roman" w:hAnsi="Times New Roman"/>
        </w:rPr>
        <w:t>Tenant Based Rental Assistance Program provides a portable rental assistance subsidy, which allows a tenant to move from one rental unit to another provided the unit meets program requirements.  Participants that are issued a housing voucher are responsible for finding a suitable housing unit of the participant's choice where the owner agrees to rent under the program</w:t>
      </w:r>
      <w:r w:rsidR="008A1F5C">
        <w:rPr>
          <w:rFonts w:ascii="Times New Roman" w:eastAsia="Times New Roman" w:hAnsi="Times New Roman"/>
        </w:rPr>
        <w:t xml:space="preserve"> regulations.</w:t>
      </w:r>
      <w:r w:rsidRPr="00863900">
        <w:rPr>
          <w:rFonts w:ascii="Times New Roman" w:eastAsia="Times New Roman" w:hAnsi="Times New Roman"/>
        </w:rPr>
        <w:t xml:space="preserve"> Participants </w:t>
      </w:r>
      <w:proofErr w:type="gramStart"/>
      <w:r w:rsidRPr="00863900">
        <w:rPr>
          <w:rFonts w:ascii="Times New Roman" w:eastAsia="Times New Roman" w:hAnsi="Times New Roman"/>
        </w:rPr>
        <w:t>are able to</w:t>
      </w:r>
      <w:proofErr w:type="gramEnd"/>
      <w:r w:rsidRPr="00863900">
        <w:rPr>
          <w:rFonts w:ascii="Times New Roman" w:eastAsia="Times New Roman" w:hAnsi="Times New Roman"/>
        </w:rPr>
        <w:t xml:space="preserve"> select their own housing, including apartments, townhous</w:t>
      </w:r>
      <w:r w:rsidR="008450BF">
        <w:rPr>
          <w:rFonts w:ascii="Times New Roman" w:eastAsia="Times New Roman" w:hAnsi="Times New Roman"/>
        </w:rPr>
        <w:t xml:space="preserve">es, and single-family homes. </w:t>
      </w:r>
      <w:r w:rsidRPr="00863900">
        <w:rPr>
          <w:rFonts w:ascii="Times New Roman" w:eastAsia="Times New Roman" w:hAnsi="Times New Roman"/>
        </w:rPr>
        <w:t xml:space="preserve">Rental units must meet minimum standards of quality and safety as established by HUD.  Participants pay 30% of their adjusted gross income toward the rent and the DOH Housing Choice Voucher rental subsidy pays the remainder of the contract rent directly to the landlord.  </w:t>
      </w:r>
      <w:r w:rsidRPr="00863900">
        <w:rPr>
          <w:rFonts w:ascii="Verdana" w:eastAsia="Times New Roman" w:hAnsi="Verdana"/>
          <w:sz w:val="20"/>
          <w:szCs w:val="20"/>
        </w:rPr>
        <w:t> </w:t>
      </w:r>
    </w:p>
    <w:p w14:paraId="4130BDDF" w14:textId="77777777" w:rsidR="00076352" w:rsidRPr="00FE47A7" w:rsidRDefault="00076352" w:rsidP="00FE47A7">
      <w:pPr>
        <w:pStyle w:val="Style2"/>
      </w:pPr>
      <w:r w:rsidRPr="00FE47A7">
        <w:t>Family Unification Program (FUP)</w:t>
      </w:r>
    </w:p>
    <w:p w14:paraId="05F0E7C9" w14:textId="77777777" w:rsidR="00076352" w:rsidRPr="00863900" w:rsidRDefault="00076352" w:rsidP="0086328F">
      <w:pPr>
        <w:spacing w:after="200"/>
        <w:jc w:val="both"/>
        <w:rPr>
          <w:rFonts w:ascii="Times New Roman" w:eastAsia="Times New Roman" w:hAnsi="Times New Roman"/>
        </w:rPr>
      </w:pPr>
      <w:r w:rsidRPr="00863900">
        <w:rPr>
          <w:rFonts w:ascii="Times New Roman" w:eastAsia="Times New Roman" w:hAnsi="Times New Roman"/>
        </w:rPr>
        <w:t>The Family Unification Program (FUP) is a partnership between DOH and the Department of Children and Families (DCF) that provides a Housing Choice Voucher from DOH and a comprehensive array of services from DCF to individuals and families involved in the child welfare system.  HUD defines eligible participants as families for whom the lack of adequate housing is a primary factor in the imminent placement of the family’s child or children in out-of-home care, or in the delay of discharge of a child or children to the family from out-of home care or as a young adult aged 18-21 who left foster care after the age of 16 and lacks adequate housing.  DCF refers eligible participants to DOH for a Housing Choice Voucher and DCF provides intensive services to ensure the participants maintain stability in housing.  Examples of services provided by DCF include</w:t>
      </w:r>
      <w:r w:rsidRPr="00863900">
        <w:rPr>
          <w:rFonts w:ascii="Times New Roman" w:eastAsia="Times New Roman" w:hAnsi="Times New Roman"/>
          <w:sz w:val="24"/>
          <w:szCs w:val="24"/>
        </w:rPr>
        <w:t xml:space="preserve"> </w:t>
      </w:r>
      <w:r w:rsidRPr="00863900">
        <w:rPr>
          <w:rFonts w:ascii="Times New Roman" w:eastAsia="Times New Roman" w:hAnsi="Times New Roman"/>
        </w:rPr>
        <w:t>money management skills, job preparation, educational counseling, proper nutrition and meal preparation.</w:t>
      </w:r>
    </w:p>
    <w:p w14:paraId="05F8C059" w14:textId="77777777" w:rsidR="00076352" w:rsidRPr="00FE47A7" w:rsidRDefault="00076352" w:rsidP="00FE47A7">
      <w:pPr>
        <w:pStyle w:val="Style2"/>
      </w:pPr>
      <w:r w:rsidRPr="00FE47A7">
        <w:t>Veteran’s Affairs Supportive Housing (VASH)</w:t>
      </w:r>
    </w:p>
    <w:p w14:paraId="32F7BDE5" w14:textId="77777777" w:rsidR="00076352" w:rsidRPr="0086328F" w:rsidRDefault="00076352" w:rsidP="0086328F">
      <w:pPr>
        <w:spacing w:after="200"/>
        <w:jc w:val="both"/>
        <w:rPr>
          <w:rFonts w:ascii="Times New Roman" w:eastAsia="Times New Roman" w:hAnsi="Times New Roman"/>
          <w:color w:val="000000"/>
        </w:rPr>
      </w:pPr>
      <w:r w:rsidRPr="00863900">
        <w:rPr>
          <w:rFonts w:ascii="Times New Roman" w:eastAsia="Times New Roman" w:hAnsi="Times New Roman"/>
          <w:color w:val="000000"/>
        </w:rPr>
        <w:t xml:space="preserve">The HUD-Veterans Affairs Supportive Housing (HUD-VASH) program combines Housing Choice Voucher (HCV) rental assistance for homeless Veterans with case management and clinical services provided by the Department of Veterans Affairs (VA).  The VA provides these services for participating Veterans at the VA Medical Centers located in West Haven and Newington as well as in community-based outreach clinics located throughout the state.  The HUD-VASH program is </w:t>
      </w:r>
      <w:proofErr w:type="gramStart"/>
      <w:r w:rsidRPr="00863900">
        <w:rPr>
          <w:rFonts w:ascii="Times New Roman" w:eastAsia="Times New Roman" w:hAnsi="Times New Roman"/>
          <w:color w:val="000000"/>
        </w:rPr>
        <w:t>the</w:t>
      </w:r>
      <w:proofErr w:type="gramEnd"/>
      <w:r w:rsidRPr="00863900">
        <w:rPr>
          <w:rFonts w:ascii="Times New Roman" w:eastAsia="Times New Roman" w:hAnsi="Times New Roman"/>
          <w:color w:val="000000"/>
        </w:rPr>
        <w:t xml:space="preserve"> prominent housing program aimed at ending </w:t>
      </w:r>
      <w:r w:rsidR="00A21BFF" w:rsidRPr="00863900">
        <w:rPr>
          <w:rFonts w:ascii="Times New Roman" w:eastAsia="Times New Roman" w:hAnsi="Times New Roman"/>
          <w:color w:val="000000"/>
        </w:rPr>
        <w:t>veterans’</w:t>
      </w:r>
      <w:r w:rsidRPr="00863900">
        <w:rPr>
          <w:rFonts w:ascii="Times New Roman" w:eastAsia="Times New Roman" w:hAnsi="Times New Roman"/>
          <w:color w:val="000000"/>
        </w:rPr>
        <w:t xml:space="preserve"> homelessness in Connecticut and nationally.</w:t>
      </w:r>
    </w:p>
    <w:p w14:paraId="653CD06F" w14:textId="77777777" w:rsidR="00076352" w:rsidRPr="00FE47A7" w:rsidRDefault="00076352" w:rsidP="00FE47A7">
      <w:pPr>
        <w:pStyle w:val="Style2"/>
      </w:pPr>
      <w:r w:rsidRPr="00FE47A7">
        <w:t>Project</w:t>
      </w:r>
      <w:r w:rsidR="00A21BFF" w:rsidRPr="00FE47A7">
        <w:t>-</w:t>
      </w:r>
      <w:r w:rsidRPr="00FE47A7">
        <w:t>Based Vouchers</w:t>
      </w:r>
    </w:p>
    <w:p w14:paraId="69150EC9" w14:textId="77777777" w:rsidR="00076352" w:rsidRDefault="00076352" w:rsidP="0086328F">
      <w:pPr>
        <w:spacing w:after="200"/>
        <w:jc w:val="both"/>
        <w:rPr>
          <w:rFonts w:ascii="Times New Roman" w:hAnsi="Times New Roman"/>
          <w:color w:val="000000"/>
        </w:rPr>
      </w:pPr>
      <w:r w:rsidRPr="00863900">
        <w:rPr>
          <w:rFonts w:ascii="Times New Roman" w:eastAsia="Times New Roman" w:hAnsi="Times New Roman"/>
        </w:rPr>
        <w:t xml:space="preserve">In contrast to a tenant based rental subsidy, in which a tenant can move from one eligible unit to another, the </w:t>
      </w:r>
      <w:r w:rsidR="00A21BFF" w:rsidRPr="00863900">
        <w:rPr>
          <w:rFonts w:ascii="Times New Roman" w:eastAsia="Times New Roman" w:hAnsi="Times New Roman"/>
        </w:rPr>
        <w:t>project-based</w:t>
      </w:r>
      <w:r w:rsidRPr="00863900">
        <w:rPr>
          <w:rFonts w:ascii="Times New Roman" w:eastAsia="Times New Roman" w:hAnsi="Times New Roman"/>
        </w:rPr>
        <w:t xml:space="preserve"> voucher program has the rental subsidy connected to a specific unit in a property.  Under the </w:t>
      </w:r>
      <w:r w:rsidR="00A21BFF" w:rsidRPr="00863900">
        <w:rPr>
          <w:rFonts w:ascii="Times New Roman" w:eastAsia="Times New Roman" w:hAnsi="Times New Roman"/>
        </w:rPr>
        <w:t>project-based</w:t>
      </w:r>
      <w:r w:rsidRPr="00863900">
        <w:rPr>
          <w:rFonts w:ascii="Times New Roman" w:eastAsia="Times New Roman" w:hAnsi="Times New Roman"/>
        </w:rPr>
        <w:t xml:space="preserve"> voucher program, the owner of a property reserves some or </w:t>
      </w:r>
      <w:proofErr w:type="gramStart"/>
      <w:r w:rsidRPr="00863900">
        <w:rPr>
          <w:rFonts w:ascii="Times New Roman" w:eastAsia="Times New Roman" w:hAnsi="Times New Roman"/>
        </w:rPr>
        <w:t>all of</w:t>
      </w:r>
      <w:proofErr w:type="gramEnd"/>
      <w:r w:rsidRPr="00863900">
        <w:rPr>
          <w:rFonts w:ascii="Times New Roman" w:eastAsia="Times New Roman" w:hAnsi="Times New Roman"/>
        </w:rPr>
        <w:t xml:space="preserve"> the units in a building </w:t>
      </w:r>
      <w:r w:rsidRPr="00863900">
        <w:rPr>
          <w:rFonts w:ascii="Times New Roman" w:eastAsia="Times New Roman" w:hAnsi="Times New Roman"/>
        </w:rPr>
        <w:lastRenderedPageBreak/>
        <w:t xml:space="preserve">for low-income tenants, and in return the program guarantees to make up the difference between the tenant's portion of the rent, defined as 30% of the participant’s adjusted gross income, and the contract rent. A tenant who leaves a subsidized project will lose access to the project-based subsidy.  </w:t>
      </w:r>
      <w:r w:rsidRPr="00863900">
        <w:rPr>
          <w:rFonts w:ascii="Times New Roman" w:hAnsi="Times New Roman"/>
          <w:color w:val="000000"/>
        </w:rPr>
        <w:t xml:space="preserve">To continue to receive rental assistance, these individuals either </w:t>
      </w:r>
      <w:proofErr w:type="gramStart"/>
      <w:r w:rsidRPr="00863900">
        <w:rPr>
          <w:rFonts w:ascii="Times New Roman" w:hAnsi="Times New Roman"/>
          <w:color w:val="000000"/>
        </w:rPr>
        <w:t>have to</w:t>
      </w:r>
      <w:proofErr w:type="gramEnd"/>
      <w:r w:rsidRPr="00863900">
        <w:rPr>
          <w:rFonts w:ascii="Times New Roman" w:hAnsi="Times New Roman"/>
          <w:color w:val="000000"/>
        </w:rPr>
        <w:t xml:space="preserve"> obtain a tenant-based voucher</w:t>
      </w:r>
      <w:r w:rsidR="00A21BFF">
        <w:rPr>
          <w:rFonts w:ascii="Times New Roman" w:hAnsi="Times New Roman"/>
          <w:color w:val="000000"/>
        </w:rPr>
        <w:t xml:space="preserve"> </w:t>
      </w:r>
      <w:r w:rsidRPr="00863900">
        <w:rPr>
          <w:rFonts w:ascii="Times New Roman" w:hAnsi="Times New Roman"/>
          <w:color w:val="000000"/>
        </w:rPr>
        <w:t xml:space="preserve">or wait for another </w:t>
      </w:r>
      <w:proofErr w:type="gramStart"/>
      <w:r w:rsidRPr="00863900">
        <w:rPr>
          <w:rFonts w:ascii="Times New Roman" w:hAnsi="Times New Roman"/>
          <w:color w:val="000000"/>
        </w:rPr>
        <w:t>project based</w:t>
      </w:r>
      <w:proofErr w:type="gramEnd"/>
      <w:r w:rsidRPr="00863900">
        <w:rPr>
          <w:rFonts w:ascii="Times New Roman" w:hAnsi="Times New Roman"/>
          <w:color w:val="000000"/>
        </w:rPr>
        <w:t xml:space="preserve"> voucher unit to become vacant and available.</w:t>
      </w:r>
    </w:p>
    <w:p w14:paraId="67E51467" w14:textId="77777777" w:rsidR="00134A48" w:rsidRPr="00FE47A7" w:rsidRDefault="00134A48" w:rsidP="00FE47A7">
      <w:pPr>
        <w:pStyle w:val="Style2"/>
      </w:pPr>
      <w:r w:rsidRPr="00FE47A7">
        <w:t>Mainstream Vouchers</w:t>
      </w:r>
    </w:p>
    <w:p w14:paraId="5A4C9606" w14:textId="77777777" w:rsidR="00134A48" w:rsidRDefault="00134A48" w:rsidP="00134A48">
      <w:pPr>
        <w:spacing w:before="100" w:beforeAutospacing="1" w:after="100" w:afterAutospacing="1"/>
        <w:rPr>
          <w:rFonts w:ascii="Times New Roman" w:eastAsia="Times New Roman" w:hAnsi="Times New Roman"/>
          <w:sz w:val="24"/>
          <w:szCs w:val="24"/>
        </w:rPr>
      </w:pPr>
      <w:r w:rsidRPr="00134A48">
        <w:rPr>
          <w:rFonts w:ascii="Times New Roman" w:eastAsia="Times New Roman" w:hAnsi="Times New Roman"/>
          <w:sz w:val="24"/>
          <w:szCs w:val="24"/>
        </w:rPr>
        <w:t xml:space="preserve">Mainstream vouchers assist non-elderly </w:t>
      </w:r>
      <w:proofErr w:type="gramStart"/>
      <w:r w:rsidRPr="00134A48">
        <w:rPr>
          <w:rFonts w:ascii="Times New Roman" w:eastAsia="Times New Roman" w:hAnsi="Times New Roman"/>
          <w:sz w:val="24"/>
          <w:szCs w:val="24"/>
        </w:rPr>
        <w:t>persons</w:t>
      </w:r>
      <w:proofErr w:type="gramEnd"/>
      <w:r w:rsidRPr="00134A48">
        <w:rPr>
          <w:rFonts w:ascii="Times New Roman" w:eastAsia="Times New Roman" w:hAnsi="Times New Roman"/>
          <w:sz w:val="24"/>
          <w:szCs w:val="24"/>
        </w:rPr>
        <w:t xml:space="preserve"> with disabilities. Aside from serving a special population, Mainstream vouchers are administered using the same rules as other housing choice vouchers.</w:t>
      </w:r>
      <w:r>
        <w:rPr>
          <w:rFonts w:ascii="Times New Roman" w:eastAsia="Times New Roman" w:hAnsi="Times New Roman"/>
          <w:sz w:val="24"/>
          <w:szCs w:val="24"/>
        </w:rPr>
        <w:t xml:space="preserve">  DOH targets these mainstream vouchers to 3 subpopulations with disabilities, those who are homeless, those </w:t>
      </w:r>
      <w:r w:rsidR="00F0483D">
        <w:rPr>
          <w:rFonts w:ascii="Times New Roman" w:eastAsia="Times New Roman" w:hAnsi="Times New Roman"/>
          <w:sz w:val="24"/>
          <w:szCs w:val="24"/>
        </w:rPr>
        <w:t xml:space="preserve">who </w:t>
      </w:r>
      <w:r>
        <w:rPr>
          <w:rFonts w:ascii="Times New Roman" w:eastAsia="Times New Roman" w:hAnsi="Times New Roman"/>
          <w:sz w:val="24"/>
          <w:szCs w:val="24"/>
        </w:rPr>
        <w:t>are in the Department of Development Services system and those in the Money Follows the Person program.</w:t>
      </w:r>
    </w:p>
    <w:p w14:paraId="47243F84" w14:textId="77777777" w:rsidR="002872A9" w:rsidRPr="00FE47A7" w:rsidRDefault="002872A9" w:rsidP="00FE47A7">
      <w:pPr>
        <w:pStyle w:val="Style2"/>
      </w:pPr>
      <w:r w:rsidRPr="00FE47A7">
        <w:t>Emergency Housing Vouchers</w:t>
      </w:r>
    </w:p>
    <w:p w14:paraId="54A594E7" w14:textId="77777777" w:rsidR="002872A9" w:rsidRPr="002872A9" w:rsidRDefault="002872A9" w:rsidP="00134A48">
      <w:pPr>
        <w:spacing w:before="100" w:beforeAutospacing="1" w:after="100" w:afterAutospacing="1"/>
        <w:rPr>
          <w:rFonts w:ascii="Times New Roman" w:eastAsia="Times New Roman" w:hAnsi="Times New Roman"/>
          <w:sz w:val="24"/>
          <w:szCs w:val="24"/>
        </w:rPr>
      </w:pPr>
      <w:r w:rsidRPr="002872A9">
        <w:rPr>
          <w:rFonts w:ascii="Times New Roman" w:eastAsia="Times New Roman" w:hAnsi="Times New Roman"/>
          <w:sz w:val="24"/>
          <w:szCs w:val="24"/>
        </w:rPr>
        <w:t>The Emergency Housing Voucher (EHV) program is available through the American Rescue Plan Act (ARPA). Through EHV, HUD is providing 70,000 housing choice vouchers to local Public Housing Authorities (PHAs) in order to assist individuals and families who are homeless, at-risk of homelessness, fleeing, or attempting to flee, domestic violence, dating violence, sexual assault, stalking, or human trafficking, or were recently homeless or have a high risk of housing instability.</w:t>
      </w:r>
    </w:p>
    <w:p w14:paraId="6F4E359C" w14:textId="77777777" w:rsidR="00134A48" w:rsidRDefault="00076352" w:rsidP="00134A48">
      <w:pPr>
        <w:spacing w:after="200"/>
        <w:jc w:val="both"/>
        <w:rPr>
          <w:rFonts w:ascii="Times New Roman" w:hAnsi="Times New Roman"/>
        </w:rPr>
      </w:pPr>
      <w:r w:rsidRPr="00863900">
        <w:rPr>
          <w:rFonts w:ascii="Times New Roman" w:hAnsi="Times New Roman"/>
        </w:rPr>
        <w:t xml:space="preserve">The chart below identifies individuals served </w:t>
      </w:r>
      <w:r w:rsidR="00A30BC5">
        <w:rPr>
          <w:rFonts w:ascii="Times New Roman" w:hAnsi="Times New Roman"/>
        </w:rPr>
        <w:t>in each program by</w:t>
      </w:r>
      <w:r w:rsidR="002872A9">
        <w:rPr>
          <w:rFonts w:ascii="Times New Roman" w:hAnsi="Times New Roman"/>
        </w:rPr>
        <w:t xml:space="preserve"> month in state fiscal year 202</w:t>
      </w:r>
      <w:r w:rsidR="001A56C9">
        <w:rPr>
          <w:rFonts w:ascii="Times New Roman" w:hAnsi="Times New Roman"/>
        </w:rPr>
        <w:t>4</w:t>
      </w:r>
      <w:r w:rsidR="00134A48">
        <w:rPr>
          <w:rFonts w:ascii="Times New Roman" w:hAnsi="Times New Roman"/>
        </w:rPr>
        <w:t>.</w:t>
      </w:r>
    </w:p>
    <w:tbl>
      <w:tblPr>
        <w:tblW w:w="6700" w:type="dxa"/>
        <w:tblInd w:w="113" w:type="dxa"/>
        <w:tblLayout w:type="fixed"/>
        <w:tblLook w:val="04A0" w:firstRow="1" w:lastRow="0" w:firstColumn="1" w:lastColumn="0" w:noHBand="0" w:noVBand="1"/>
      </w:tblPr>
      <w:tblGrid>
        <w:gridCol w:w="1180"/>
        <w:gridCol w:w="960"/>
        <w:gridCol w:w="1120"/>
        <w:gridCol w:w="960"/>
        <w:gridCol w:w="1520"/>
        <w:gridCol w:w="960"/>
      </w:tblGrid>
      <w:tr w:rsidR="00013B11" w:rsidRPr="00102057" w14:paraId="760CF883" w14:textId="77777777" w:rsidTr="00013B11">
        <w:trPr>
          <w:trHeight w:val="290"/>
        </w:trPr>
        <w:tc>
          <w:tcPr>
            <w:tcW w:w="1180" w:type="dxa"/>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266B9DC1" w14:textId="77777777" w:rsidR="00013B11" w:rsidRPr="00102057" w:rsidRDefault="00013B11" w:rsidP="00102057">
            <w:pPr>
              <w:rPr>
                <w:rFonts w:eastAsia="Times New Roman" w:cs="Calibri"/>
                <w:color w:val="000000"/>
              </w:rPr>
            </w:pPr>
            <w:r w:rsidRPr="00102057">
              <w:rPr>
                <w:rFonts w:eastAsia="Times New Roman" w:cs="Calibri"/>
                <w:color w:val="000000"/>
              </w:rPr>
              <w:t>Date/Year</w:t>
            </w:r>
          </w:p>
        </w:tc>
        <w:tc>
          <w:tcPr>
            <w:tcW w:w="960" w:type="dxa"/>
            <w:tcBorders>
              <w:top w:val="single" w:sz="4" w:space="0" w:color="auto"/>
              <w:left w:val="nil"/>
              <w:bottom w:val="single" w:sz="4" w:space="0" w:color="auto"/>
              <w:right w:val="single" w:sz="4" w:space="0" w:color="auto"/>
            </w:tcBorders>
            <w:shd w:val="clear" w:color="000000" w:fill="ACB9CA"/>
            <w:noWrap/>
            <w:vAlign w:val="bottom"/>
            <w:hideMark/>
          </w:tcPr>
          <w:p w14:paraId="098FC72A" w14:textId="77777777" w:rsidR="00013B11" w:rsidRPr="00102057" w:rsidRDefault="00013B11" w:rsidP="00102057">
            <w:pPr>
              <w:rPr>
                <w:rFonts w:eastAsia="Times New Roman" w:cs="Calibri"/>
                <w:color w:val="000000"/>
              </w:rPr>
            </w:pPr>
            <w:r w:rsidRPr="00102057">
              <w:rPr>
                <w:rFonts w:eastAsia="Times New Roman" w:cs="Calibri"/>
                <w:color w:val="000000"/>
              </w:rPr>
              <w:t>HCV</w:t>
            </w:r>
          </w:p>
        </w:tc>
        <w:tc>
          <w:tcPr>
            <w:tcW w:w="1120" w:type="dxa"/>
            <w:tcBorders>
              <w:top w:val="single" w:sz="4" w:space="0" w:color="auto"/>
              <w:left w:val="nil"/>
              <w:bottom w:val="single" w:sz="4" w:space="0" w:color="auto"/>
              <w:right w:val="single" w:sz="4" w:space="0" w:color="auto"/>
            </w:tcBorders>
            <w:shd w:val="clear" w:color="000000" w:fill="ACB9CA"/>
            <w:noWrap/>
            <w:vAlign w:val="bottom"/>
            <w:hideMark/>
          </w:tcPr>
          <w:p w14:paraId="6BD845C3" w14:textId="77777777" w:rsidR="00013B11" w:rsidRPr="00102057" w:rsidRDefault="00013B11" w:rsidP="00102057">
            <w:pPr>
              <w:rPr>
                <w:rFonts w:eastAsia="Times New Roman" w:cs="Calibri"/>
                <w:color w:val="000000"/>
              </w:rPr>
            </w:pPr>
            <w:r w:rsidRPr="00102057">
              <w:rPr>
                <w:rFonts w:eastAsia="Times New Roman" w:cs="Calibri"/>
                <w:color w:val="000000"/>
              </w:rPr>
              <w:t>FUP</w:t>
            </w:r>
          </w:p>
        </w:tc>
        <w:tc>
          <w:tcPr>
            <w:tcW w:w="960" w:type="dxa"/>
            <w:tcBorders>
              <w:top w:val="single" w:sz="4" w:space="0" w:color="auto"/>
              <w:left w:val="nil"/>
              <w:bottom w:val="single" w:sz="4" w:space="0" w:color="auto"/>
              <w:right w:val="single" w:sz="4" w:space="0" w:color="auto"/>
            </w:tcBorders>
            <w:shd w:val="clear" w:color="000000" w:fill="ACB9CA"/>
            <w:noWrap/>
            <w:vAlign w:val="bottom"/>
            <w:hideMark/>
          </w:tcPr>
          <w:p w14:paraId="62F929D2" w14:textId="77777777" w:rsidR="00013B11" w:rsidRPr="00102057" w:rsidRDefault="00013B11" w:rsidP="00102057">
            <w:pPr>
              <w:rPr>
                <w:rFonts w:eastAsia="Times New Roman" w:cs="Calibri"/>
                <w:color w:val="000000"/>
              </w:rPr>
            </w:pPr>
            <w:r w:rsidRPr="00102057">
              <w:rPr>
                <w:rFonts w:eastAsia="Times New Roman" w:cs="Calibri"/>
                <w:color w:val="000000"/>
              </w:rPr>
              <w:t>VASH</w:t>
            </w:r>
          </w:p>
        </w:tc>
        <w:tc>
          <w:tcPr>
            <w:tcW w:w="1520" w:type="dxa"/>
            <w:tcBorders>
              <w:top w:val="single" w:sz="4" w:space="0" w:color="auto"/>
              <w:left w:val="nil"/>
              <w:bottom w:val="single" w:sz="4" w:space="0" w:color="auto"/>
              <w:right w:val="single" w:sz="4" w:space="0" w:color="auto"/>
            </w:tcBorders>
            <w:shd w:val="clear" w:color="000000" w:fill="ACB9CA"/>
            <w:noWrap/>
            <w:vAlign w:val="bottom"/>
            <w:hideMark/>
          </w:tcPr>
          <w:p w14:paraId="0BC6515B" w14:textId="77777777" w:rsidR="00013B11" w:rsidRPr="00102057" w:rsidRDefault="00013B11" w:rsidP="00102057">
            <w:pPr>
              <w:rPr>
                <w:rFonts w:eastAsia="Times New Roman" w:cs="Calibri"/>
                <w:color w:val="000000"/>
              </w:rPr>
            </w:pPr>
            <w:r w:rsidRPr="00102057">
              <w:rPr>
                <w:rFonts w:eastAsia="Times New Roman" w:cs="Calibri"/>
                <w:color w:val="000000"/>
              </w:rPr>
              <w:t>Project Based</w:t>
            </w:r>
          </w:p>
        </w:tc>
        <w:tc>
          <w:tcPr>
            <w:tcW w:w="960" w:type="dxa"/>
            <w:tcBorders>
              <w:top w:val="single" w:sz="4" w:space="0" w:color="auto"/>
              <w:left w:val="nil"/>
              <w:bottom w:val="single" w:sz="4" w:space="0" w:color="auto"/>
              <w:right w:val="single" w:sz="4" w:space="0" w:color="auto"/>
            </w:tcBorders>
            <w:shd w:val="clear" w:color="000000" w:fill="ACB9CA"/>
            <w:noWrap/>
            <w:vAlign w:val="bottom"/>
            <w:hideMark/>
          </w:tcPr>
          <w:p w14:paraId="522BD165" w14:textId="77777777" w:rsidR="00013B11" w:rsidRPr="00102057" w:rsidRDefault="00013B11" w:rsidP="00102057">
            <w:pPr>
              <w:rPr>
                <w:rFonts w:eastAsia="Times New Roman" w:cs="Calibri"/>
                <w:color w:val="000000"/>
              </w:rPr>
            </w:pPr>
            <w:r w:rsidRPr="00102057">
              <w:rPr>
                <w:rFonts w:eastAsia="Times New Roman" w:cs="Calibri"/>
                <w:color w:val="000000"/>
              </w:rPr>
              <w:t>Total</w:t>
            </w:r>
          </w:p>
        </w:tc>
      </w:tr>
      <w:tr w:rsidR="00013B11" w:rsidRPr="00102057" w14:paraId="461BEC12"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6AA6BE36" w14:textId="77777777" w:rsidR="00013B11" w:rsidRPr="00102057" w:rsidRDefault="00013B11" w:rsidP="00102057">
            <w:pPr>
              <w:jc w:val="right"/>
              <w:rPr>
                <w:rFonts w:eastAsia="Times New Roman" w:cs="Calibri"/>
                <w:color w:val="000000"/>
              </w:rPr>
            </w:pPr>
            <w:r w:rsidRPr="00102057">
              <w:rPr>
                <w:rFonts w:eastAsia="Times New Roman" w:cs="Calibri"/>
                <w:color w:val="000000"/>
              </w:rPr>
              <w:t>7/1/202</w:t>
            </w:r>
            <w:r>
              <w:rPr>
                <w:rFonts w:eastAsia="Times New Roman" w:cs="Calibri"/>
                <w:color w:val="000000"/>
              </w:rPr>
              <w:t>3</w:t>
            </w:r>
          </w:p>
        </w:tc>
        <w:tc>
          <w:tcPr>
            <w:tcW w:w="960" w:type="dxa"/>
            <w:tcBorders>
              <w:top w:val="nil"/>
              <w:left w:val="nil"/>
              <w:bottom w:val="single" w:sz="4" w:space="0" w:color="auto"/>
              <w:right w:val="single" w:sz="4" w:space="0" w:color="auto"/>
            </w:tcBorders>
            <w:noWrap/>
            <w:vAlign w:val="bottom"/>
            <w:hideMark/>
          </w:tcPr>
          <w:p w14:paraId="19DC0AF1" w14:textId="77777777" w:rsidR="00013B11" w:rsidRPr="00102057" w:rsidRDefault="00013B11" w:rsidP="00102057">
            <w:pPr>
              <w:jc w:val="right"/>
              <w:rPr>
                <w:rFonts w:eastAsia="Times New Roman" w:cs="Calibri"/>
                <w:color w:val="000000"/>
              </w:rPr>
            </w:pPr>
            <w:r>
              <w:rPr>
                <w:rFonts w:eastAsia="Times New Roman" w:cs="Calibri"/>
                <w:color w:val="000000"/>
              </w:rPr>
              <w:t>7892</w:t>
            </w:r>
          </w:p>
        </w:tc>
        <w:tc>
          <w:tcPr>
            <w:tcW w:w="1120" w:type="dxa"/>
            <w:tcBorders>
              <w:top w:val="nil"/>
              <w:left w:val="nil"/>
              <w:bottom w:val="single" w:sz="4" w:space="0" w:color="auto"/>
              <w:right w:val="single" w:sz="4" w:space="0" w:color="auto"/>
            </w:tcBorders>
            <w:noWrap/>
            <w:vAlign w:val="bottom"/>
            <w:hideMark/>
          </w:tcPr>
          <w:p w14:paraId="299C738D" w14:textId="77777777" w:rsidR="00013B11" w:rsidRPr="00102057" w:rsidRDefault="00013B11" w:rsidP="00102057">
            <w:pPr>
              <w:jc w:val="right"/>
              <w:rPr>
                <w:rFonts w:eastAsia="Times New Roman" w:cs="Calibri"/>
                <w:color w:val="000000"/>
              </w:rPr>
            </w:pPr>
            <w:r>
              <w:rPr>
                <w:rFonts w:eastAsia="Times New Roman" w:cs="Calibri"/>
                <w:color w:val="000000"/>
              </w:rPr>
              <w:t>416</w:t>
            </w:r>
          </w:p>
        </w:tc>
        <w:tc>
          <w:tcPr>
            <w:tcW w:w="960" w:type="dxa"/>
            <w:tcBorders>
              <w:top w:val="nil"/>
              <w:left w:val="nil"/>
              <w:bottom w:val="single" w:sz="4" w:space="0" w:color="auto"/>
              <w:right w:val="single" w:sz="4" w:space="0" w:color="auto"/>
            </w:tcBorders>
            <w:noWrap/>
            <w:vAlign w:val="bottom"/>
            <w:hideMark/>
          </w:tcPr>
          <w:p w14:paraId="7209C44F" w14:textId="77777777" w:rsidR="00013B11" w:rsidRPr="00102057" w:rsidRDefault="00013B11" w:rsidP="00102057">
            <w:pPr>
              <w:jc w:val="right"/>
              <w:rPr>
                <w:rFonts w:eastAsia="Times New Roman" w:cs="Calibri"/>
                <w:color w:val="000000"/>
              </w:rPr>
            </w:pPr>
            <w:r>
              <w:rPr>
                <w:rFonts w:eastAsia="Times New Roman" w:cs="Calibri"/>
                <w:color w:val="000000"/>
              </w:rPr>
              <w:t>323</w:t>
            </w:r>
          </w:p>
        </w:tc>
        <w:tc>
          <w:tcPr>
            <w:tcW w:w="1520" w:type="dxa"/>
            <w:tcBorders>
              <w:top w:val="nil"/>
              <w:left w:val="nil"/>
              <w:bottom w:val="single" w:sz="4" w:space="0" w:color="auto"/>
              <w:right w:val="single" w:sz="4" w:space="0" w:color="auto"/>
            </w:tcBorders>
            <w:noWrap/>
            <w:vAlign w:val="bottom"/>
            <w:hideMark/>
          </w:tcPr>
          <w:p w14:paraId="7BBCED9A" w14:textId="77777777" w:rsidR="00013B11" w:rsidRPr="00102057" w:rsidRDefault="00013B11" w:rsidP="00102057">
            <w:pPr>
              <w:jc w:val="right"/>
              <w:rPr>
                <w:rFonts w:eastAsia="Times New Roman" w:cs="Calibri"/>
                <w:color w:val="000000"/>
              </w:rPr>
            </w:pPr>
            <w:r>
              <w:rPr>
                <w:rFonts w:eastAsia="Times New Roman" w:cs="Calibri"/>
                <w:color w:val="000000"/>
              </w:rPr>
              <w:t>57</w:t>
            </w:r>
          </w:p>
        </w:tc>
        <w:tc>
          <w:tcPr>
            <w:tcW w:w="960" w:type="dxa"/>
            <w:tcBorders>
              <w:top w:val="nil"/>
              <w:left w:val="nil"/>
              <w:bottom w:val="single" w:sz="4" w:space="0" w:color="auto"/>
              <w:right w:val="single" w:sz="4" w:space="0" w:color="auto"/>
            </w:tcBorders>
            <w:noWrap/>
            <w:vAlign w:val="bottom"/>
            <w:hideMark/>
          </w:tcPr>
          <w:p w14:paraId="19F42429" w14:textId="77777777" w:rsidR="00013B11" w:rsidRPr="00102057" w:rsidRDefault="00013B11" w:rsidP="00102057">
            <w:pPr>
              <w:jc w:val="right"/>
              <w:rPr>
                <w:rFonts w:eastAsia="Times New Roman" w:cs="Calibri"/>
                <w:color w:val="000000"/>
              </w:rPr>
            </w:pPr>
            <w:r>
              <w:rPr>
                <w:rFonts w:eastAsia="Times New Roman" w:cs="Calibri"/>
                <w:color w:val="000000"/>
              </w:rPr>
              <w:t>8688</w:t>
            </w:r>
          </w:p>
        </w:tc>
      </w:tr>
      <w:tr w:rsidR="00013B11" w:rsidRPr="00102057" w14:paraId="726D2E94"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383C4AB4" w14:textId="77777777" w:rsidR="00013B11" w:rsidRPr="00102057" w:rsidRDefault="00013B11" w:rsidP="00102057">
            <w:pPr>
              <w:jc w:val="right"/>
              <w:rPr>
                <w:rFonts w:eastAsia="Times New Roman" w:cs="Calibri"/>
                <w:color w:val="000000"/>
              </w:rPr>
            </w:pPr>
            <w:r w:rsidRPr="00102057">
              <w:rPr>
                <w:rFonts w:eastAsia="Times New Roman" w:cs="Calibri"/>
                <w:color w:val="000000"/>
              </w:rPr>
              <w:t>8/1/202</w:t>
            </w:r>
            <w:r>
              <w:rPr>
                <w:rFonts w:eastAsia="Times New Roman" w:cs="Calibri"/>
                <w:color w:val="000000"/>
              </w:rPr>
              <w:t>3</w:t>
            </w:r>
          </w:p>
        </w:tc>
        <w:tc>
          <w:tcPr>
            <w:tcW w:w="960" w:type="dxa"/>
            <w:tcBorders>
              <w:top w:val="nil"/>
              <w:left w:val="nil"/>
              <w:bottom w:val="single" w:sz="4" w:space="0" w:color="auto"/>
              <w:right w:val="single" w:sz="4" w:space="0" w:color="auto"/>
            </w:tcBorders>
            <w:noWrap/>
            <w:vAlign w:val="bottom"/>
            <w:hideMark/>
          </w:tcPr>
          <w:p w14:paraId="7C0A9EE6" w14:textId="77777777" w:rsidR="00013B11" w:rsidRPr="00102057" w:rsidRDefault="00013B11" w:rsidP="00102057">
            <w:pPr>
              <w:jc w:val="right"/>
              <w:rPr>
                <w:rFonts w:eastAsia="Times New Roman" w:cs="Calibri"/>
                <w:color w:val="000000"/>
              </w:rPr>
            </w:pPr>
            <w:r>
              <w:rPr>
                <w:rFonts w:eastAsia="Times New Roman" w:cs="Calibri"/>
                <w:color w:val="000000"/>
              </w:rPr>
              <w:t>7875</w:t>
            </w:r>
          </w:p>
        </w:tc>
        <w:tc>
          <w:tcPr>
            <w:tcW w:w="1120" w:type="dxa"/>
            <w:tcBorders>
              <w:top w:val="nil"/>
              <w:left w:val="nil"/>
              <w:bottom w:val="single" w:sz="4" w:space="0" w:color="auto"/>
              <w:right w:val="single" w:sz="4" w:space="0" w:color="auto"/>
            </w:tcBorders>
            <w:noWrap/>
            <w:vAlign w:val="bottom"/>
            <w:hideMark/>
          </w:tcPr>
          <w:p w14:paraId="3E7ED0A5" w14:textId="77777777" w:rsidR="00013B11" w:rsidRPr="00102057" w:rsidRDefault="00013B11" w:rsidP="00102057">
            <w:pPr>
              <w:jc w:val="right"/>
              <w:rPr>
                <w:rFonts w:eastAsia="Times New Roman" w:cs="Calibri"/>
                <w:color w:val="000000"/>
              </w:rPr>
            </w:pPr>
            <w:r>
              <w:rPr>
                <w:rFonts w:eastAsia="Times New Roman" w:cs="Calibri"/>
                <w:color w:val="000000"/>
              </w:rPr>
              <w:t>415</w:t>
            </w:r>
          </w:p>
        </w:tc>
        <w:tc>
          <w:tcPr>
            <w:tcW w:w="960" w:type="dxa"/>
            <w:tcBorders>
              <w:top w:val="nil"/>
              <w:left w:val="nil"/>
              <w:bottom w:val="single" w:sz="4" w:space="0" w:color="auto"/>
              <w:right w:val="single" w:sz="4" w:space="0" w:color="auto"/>
            </w:tcBorders>
            <w:noWrap/>
            <w:vAlign w:val="bottom"/>
            <w:hideMark/>
          </w:tcPr>
          <w:p w14:paraId="221723C8" w14:textId="77777777" w:rsidR="00013B11" w:rsidRPr="00102057" w:rsidRDefault="00013B11" w:rsidP="00102057">
            <w:pPr>
              <w:jc w:val="right"/>
              <w:rPr>
                <w:rFonts w:eastAsia="Times New Roman" w:cs="Calibri"/>
                <w:color w:val="000000"/>
              </w:rPr>
            </w:pPr>
            <w:r>
              <w:rPr>
                <w:rFonts w:eastAsia="Times New Roman" w:cs="Calibri"/>
                <w:color w:val="000000"/>
              </w:rPr>
              <w:t>321</w:t>
            </w:r>
          </w:p>
        </w:tc>
        <w:tc>
          <w:tcPr>
            <w:tcW w:w="1520" w:type="dxa"/>
            <w:tcBorders>
              <w:top w:val="nil"/>
              <w:left w:val="nil"/>
              <w:bottom w:val="single" w:sz="4" w:space="0" w:color="auto"/>
              <w:right w:val="single" w:sz="4" w:space="0" w:color="auto"/>
            </w:tcBorders>
            <w:noWrap/>
            <w:vAlign w:val="bottom"/>
            <w:hideMark/>
          </w:tcPr>
          <w:p w14:paraId="6CC48153" w14:textId="77777777" w:rsidR="00013B11" w:rsidRPr="00102057" w:rsidRDefault="00013B11" w:rsidP="00102057">
            <w:pPr>
              <w:jc w:val="right"/>
              <w:rPr>
                <w:rFonts w:eastAsia="Times New Roman" w:cs="Calibri"/>
                <w:color w:val="000000"/>
              </w:rPr>
            </w:pPr>
            <w:r>
              <w:rPr>
                <w:rFonts w:eastAsia="Times New Roman" w:cs="Calibri"/>
                <w:color w:val="000000"/>
              </w:rPr>
              <w:t>57</w:t>
            </w:r>
          </w:p>
        </w:tc>
        <w:tc>
          <w:tcPr>
            <w:tcW w:w="960" w:type="dxa"/>
            <w:tcBorders>
              <w:top w:val="nil"/>
              <w:left w:val="nil"/>
              <w:bottom w:val="single" w:sz="4" w:space="0" w:color="auto"/>
              <w:right w:val="single" w:sz="4" w:space="0" w:color="auto"/>
            </w:tcBorders>
            <w:noWrap/>
            <w:vAlign w:val="bottom"/>
            <w:hideMark/>
          </w:tcPr>
          <w:p w14:paraId="49A24CE8" w14:textId="77777777" w:rsidR="00013B11" w:rsidRPr="00102057" w:rsidRDefault="00013B11" w:rsidP="00102057">
            <w:pPr>
              <w:jc w:val="right"/>
              <w:rPr>
                <w:rFonts w:eastAsia="Times New Roman" w:cs="Calibri"/>
                <w:color w:val="000000"/>
              </w:rPr>
            </w:pPr>
            <w:r>
              <w:rPr>
                <w:rFonts w:eastAsia="Times New Roman" w:cs="Calibri"/>
                <w:color w:val="000000"/>
              </w:rPr>
              <w:t>8668</w:t>
            </w:r>
          </w:p>
        </w:tc>
      </w:tr>
      <w:tr w:rsidR="00013B11" w:rsidRPr="00102057" w14:paraId="57801D32"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61A0DCD9" w14:textId="77777777" w:rsidR="00013B11" w:rsidRPr="00102057" w:rsidRDefault="00013B11" w:rsidP="00102057">
            <w:pPr>
              <w:jc w:val="right"/>
              <w:rPr>
                <w:rFonts w:eastAsia="Times New Roman" w:cs="Calibri"/>
                <w:color w:val="000000"/>
              </w:rPr>
            </w:pPr>
            <w:r w:rsidRPr="00102057">
              <w:rPr>
                <w:rFonts w:eastAsia="Times New Roman" w:cs="Calibri"/>
                <w:color w:val="000000"/>
              </w:rPr>
              <w:t>9/1/202</w:t>
            </w:r>
            <w:r>
              <w:rPr>
                <w:rFonts w:eastAsia="Times New Roman" w:cs="Calibri"/>
                <w:color w:val="000000"/>
              </w:rPr>
              <w:t>3</w:t>
            </w:r>
          </w:p>
        </w:tc>
        <w:tc>
          <w:tcPr>
            <w:tcW w:w="960" w:type="dxa"/>
            <w:tcBorders>
              <w:top w:val="nil"/>
              <w:left w:val="nil"/>
              <w:bottom w:val="single" w:sz="4" w:space="0" w:color="auto"/>
              <w:right w:val="single" w:sz="4" w:space="0" w:color="auto"/>
            </w:tcBorders>
            <w:noWrap/>
            <w:vAlign w:val="bottom"/>
            <w:hideMark/>
          </w:tcPr>
          <w:p w14:paraId="73455F0C" w14:textId="77777777" w:rsidR="00013B11" w:rsidRPr="00102057" w:rsidRDefault="00013B11" w:rsidP="00102057">
            <w:pPr>
              <w:jc w:val="right"/>
              <w:rPr>
                <w:rFonts w:eastAsia="Times New Roman" w:cs="Calibri"/>
                <w:color w:val="000000"/>
              </w:rPr>
            </w:pPr>
            <w:r>
              <w:rPr>
                <w:rFonts w:eastAsia="Times New Roman" w:cs="Calibri"/>
                <w:color w:val="000000"/>
              </w:rPr>
              <w:t>7888</w:t>
            </w:r>
          </w:p>
        </w:tc>
        <w:tc>
          <w:tcPr>
            <w:tcW w:w="1120" w:type="dxa"/>
            <w:tcBorders>
              <w:top w:val="nil"/>
              <w:left w:val="nil"/>
              <w:bottom w:val="single" w:sz="4" w:space="0" w:color="auto"/>
              <w:right w:val="single" w:sz="4" w:space="0" w:color="auto"/>
            </w:tcBorders>
            <w:noWrap/>
            <w:vAlign w:val="bottom"/>
            <w:hideMark/>
          </w:tcPr>
          <w:p w14:paraId="475C56FB" w14:textId="77777777" w:rsidR="00013B11" w:rsidRPr="00102057" w:rsidRDefault="00013B11" w:rsidP="00102057">
            <w:pPr>
              <w:jc w:val="right"/>
              <w:rPr>
                <w:rFonts w:eastAsia="Times New Roman" w:cs="Calibri"/>
                <w:color w:val="000000"/>
              </w:rPr>
            </w:pPr>
            <w:r>
              <w:rPr>
                <w:rFonts w:eastAsia="Times New Roman" w:cs="Calibri"/>
                <w:color w:val="000000"/>
              </w:rPr>
              <w:t>416</w:t>
            </w:r>
          </w:p>
        </w:tc>
        <w:tc>
          <w:tcPr>
            <w:tcW w:w="960" w:type="dxa"/>
            <w:tcBorders>
              <w:top w:val="nil"/>
              <w:left w:val="nil"/>
              <w:bottom w:val="single" w:sz="4" w:space="0" w:color="auto"/>
              <w:right w:val="single" w:sz="4" w:space="0" w:color="auto"/>
            </w:tcBorders>
            <w:noWrap/>
            <w:vAlign w:val="bottom"/>
            <w:hideMark/>
          </w:tcPr>
          <w:p w14:paraId="3C81AC55" w14:textId="77777777" w:rsidR="00013B11" w:rsidRPr="00102057" w:rsidRDefault="00013B11" w:rsidP="00102057">
            <w:pPr>
              <w:jc w:val="right"/>
              <w:rPr>
                <w:rFonts w:eastAsia="Times New Roman" w:cs="Calibri"/>
                <w:color w:val="000000"/>
              </w:rPr>
            </w:pPr>
            <w:r>
              <w:rPr>
                <w:rFonts w:eastAsia="Times New Roman" w:cs="Calibri"/>
                <w:color w:val="000000"/>
              </w:rPr>
              <w:t>318</w:t>
            </w:r>
          </w:p>
        </w:tc>
        <w:tc>
          <w:tcPr>
            <w:tcW w:w="1520" w:type="dxa"/>
            <w:tcBorders>
              <w:top w:val="nil"/>
              <w:left w:val="nil"/>
              <w:bottom w:val="single" w:sz="4" w:space="0" w:color="auto"/>
              <w:right w:val="single" w:sz="4" w:space="0" w:color="auto"/>
            </w:tcBorders>
            <w:noWrap/>
            <w:vAlign w:val="bottom"/>
            <w:hideMark/>
          </w:tcPr>
          <w:p w14:paraId="55BD07DA" w14:textId="77777777" w:rsidR="00013B11" w:rsidRPr="00102057" w:rsidRDefault="00013B11" w:rsidP="00102057">
            <w:pPr>
              <w:jc w:val="right"/>
              <w:rPr>
                <w:rFonts w:eastAsia="Times New Roman" w:cs="Calibri"/>
                <w:color w:val="000000"/>
              </w:rPr>
            </w:pPr>
            <w:r>
              <w:rPr>
                <w:rFonts w:eastAsia="Times New Roman" w:cs="Calibri"/>
                <w:color w:val="000000"/>
              </w:rPr>
              <w:t>58</w:t>
            </w:r>
          </w:p>
        </w:tc>
        <w:tc>
          <w:tcPr>
            <w:tcW w:w="960" w:type="dxa"/>
            <w:tcBorders>
              <w:top w:val="nil"/>
              <w:left w:val="nil"/>
              <w:bottom w:val="single" w:sz="4" w:space="0" w:color="auto"/>
              <w:right w:val="single" w:sz="4" w:space="0" w:color="auto"/>
            </w:tcBorders>
            <w:noWrap/>
            <w:vAlign w:val="bottom"/>
            <w:hideMark/>
          </w:tcPr>
          <w:p w14:paraId="4FE32144" w14:textId="77777777" w:rsidR="00013B11" w:rsidRPr="00102057" w:rsidRDefault="00013B11" w:rsidP="00102057">
            <w:pPr>
              <w:jc w:val="right"/>
              <w:rPr>
                <w:rFonts w:eastAsia="Times New Roman" w:cs="Calibri"/>
                <w:color w:val="000000"/>
              </w:rPr>
            </w:pPr>
            <w:r>
              <w:rPr>
                <w:rFonts w:eastAsia="Times New Roman" w:cs="Calibri"/>
                <w:color w:val="000000"/>
              </w:rPr>
              <w:t>8680</w:t>
            </w:r>
          </w:p>
        </w:tc>
      </w:tr>
      <w:tr w:rsidR="00013B11" w:rsidRPr="00102057" w14:paraId="4EF6E796"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68ECEBCA" w14:textId="77777777" w:rsidR="00013B11" w:rsidRPr="00102057" w:rsidRDefault="00013B11" w:rsidP="00102057">
            <w:pPr>
              <w:jc w:val="right"/>
              <w:rPr>
                <w:rFonts w:eastAsia="Times New Roman" w:cs="Calibri"/>
                <w:color w:val="000000"/>
              </w:rPr>
            </w:pPr>
            <w:r w:rsidRPr="00102057">
              <w:rPr>
                <w:rFonts w:eastAsia="Times New Roman" w:cs="Calibri"/>
                <w:color w:val="000000"/>
              </w:rPr>
              <w:t>10/1/202</w:t>
            </w:r>
            <w:r>
              <w:rPr>
                <w:rFonts w:eastAsia="Times New Roman" w:cs="Calibri"/>
                <w:color w:val="000000"/>
              </w:rPr>
              <w:t>3</w:t>
            </w:r>
          </w:p>
        </w:tc>
        <w:tc>
          <w:tcPr>
            <w:tcW w:w="960" w:type="dxa"/>
            <w:tcBorders>
              <w:top w:val="nil"/>
              <w:left w:val="nil"/>
              <w:bottom w:val="single" w:sz="4" w:space="0" w:color="auto"/>
              <w:right w:val="single" w:sz="4" w:space="0" w:color="auto"/>
            </w:tcBorders>
            <w:noWrap/>
            <w:vAlign w:val="bottom"/>
            <w:hideMark/>
          </w:tcPr>
          <w:p w14:paraId="641EA269" w14:textId="77777777" w:rsidR="00013B11" w:rsidRPr="00102057" w:rsidRDefault="00013B11" w:rsidP="00102057">
            <w:pPr>
              <w:jc w:val="right"/>
              <w:rPr>
                <w:rFonts w:eastAsia="Times New Roman" w:cs="Calibri"/>
                <w:color w:val="000000"/>
              </w:rPr>
            </w:pPr>
            <w:r>
              <w:rPr>
                <w:rFonts w:eastAsia="Times New Roman" w:cs="Calibri"/>
                <w:color w:val="000000"/>
              </w:rPr>
              <w:t>7873</w:t>
            </w:r>
          </w:p>
        </w:tc>
        <w:tc>
          <w:tcPr>
            <w:tcW w:w="1120" w:type="dxa"/>
            <w:tcBorders>
              <w:top w:val="nil"/>
              <w:left w:val="nil"/>
              <w:bottom w:val="single" w:sz="4" w:space="0" w:color="auto"/>
              <w:right w:val="single" w:sz="4" w:space="0" w:color="auto"/>
            </w:tcBorders>
            <w:noWrap/>
            <w:vAlign w:val="bottom"/>
            <w:hideMark/>
          </w:tcPr>
          <w:p w14:paraId="064983EB" w14:textId="77777777" w:rsidR="00013B11" w:rsidRPr="00102057" w:rsidRDefault="00013B11" w:rsidP="00102057">
            <w:pPr>
              <w:jc w:val="right"/>
              <w:rPr>
                <w:rFonts w:eastAsia="Times New Roman" w:cs="Calibri"/>
                <w:color w:val="000000"/>
              </w:rPr>
            </w:pPr>
            <w:r>
              <w:rPr>
                <w:rFonts w:eastAsia="Times New Roman" w:cs="Calibri"/>
                <w:color w:val="000000"/>
              </w:rPr>
              <w:t>421</w:t>
            </w:r>
          </w:p>
        </w:tc>
        <w:tc>
          <w:tcPr>
            <w:tcW w:w="960" w:type="dxa"/>
            <w:tcBorders>
              <w:top w:val="nil"/>
              <w:left w:val="nil"/>
              <w:bottom w:val="single" w:sz="4" w:space="0" w:color="auto"/>
              <w:right w:val="single" w:sz="4" w:space="0" w:color="auto"/>
            </w:tcBorders>
            <w:noWrap/>
            <w:vAlign w:val="bottom"/>
            <w:hideMark/>
          </w:tcPr>
          <w:p w14:paraId="4D5685D1" w14:textId="77777777" w:rsidR="00013B11" w:rsidRPr="00102057" w:rsidRDefault="00013B11" w:rsidP="00102057">
            <w:pPr>
              <w:jc w:val="right"/>
              <w:rPr>
                <w:rFonts w:eastAsia="Times New Roman" w:cs="Calibri"/>
                <w:color w:val="000000"/>
              </w:rPr>
            </w:pPr>
            <w:r>
              <w:rPr>
                <w:rFonts w:eastAsia="Times New Roman" w:cs="Calibri"/>
                <w:color w:val="000000"/>
              </w:rPr>
              <w:t>314</w:t>
            </w:r>
          </w:p>
        </w:tc>
        <w:tc>
          <w:tcPr>
            <w:tcW w:w="1520" w:type="dxa"/>
            <w:tcBorders>
              <w:top w:val="nil"/>
              <w:left w:val="nil"/>
              <w:bottom w:val="single" w:sz="4" w:space="0" w:color="auto"/>
              <w:right w:val="single" w:sz="4" w:space="0" w:color="auto"/>
            </w:tcBorders>
            <w:noWrap/>
            <w:vAlign w:val="bottom"/>
            <w:hideMark/>
          </w:tcPr>
          <w:p w14:paraId="0B588CA7" w14:textId="77777777" w:rsidR="00013B11" w:rsidRPr="00102057" w:rsidRDefault="00013B11" w:rsidP="00102057">
            <w:pPr>
              <w:jc w:val="right"/>
              <w:rPr>
                <w:rFonts w:eastAsia="Times New Roman" w:cs="Calibri"/>
                <w:color w:val="000000"/>
              </w:rPr>
            </w:pPr>
            <w:r>
              <w:rPr>
                <w:rFonts w:eastAsia="Times New Roman" w:cs="Calibri"/>
                <w:color w:val="000000"/>
              </w:rPr>
              <w:t>58</w:t>
            </w:r>
          </w:p>
        </w:tc>
        <w:tc>
          <w:tcPr>
            <w:tcW w:w="960" w:type="dxa"/>
            <w:tcBorders>
              <w:top w:val="nil"/>
              <w:left w:val="nil"/>
              <w:bottom w:val="single" w:sz="4" w:space="0" w:color="auto"/>
              <w:right w:val="single" w:sz="4" w:space="0" w:color="auto"/>
            </w:tcBorders>
            <w:noWrap/>
            <w:vAlign w:val="bottom"/>
            <w:hideMark/>
          </w:tcPr>
          <w:p w14:paraId="5F18A175" w14:textId="77777777" w:rsidR="00013B11" w:rsidRPr="00102057" w:rsidRDefault="00013B11" w:rsidP="00102057">
            <w:pPr>
              <w:jc w:val="right"/>
              <w:rPr>
                <w:rFonts w:eastAsia="Times New Roman" w:cs="Calibri"/>
                <w:color w:val="000000"/>
              </w:rPr>
            </w:pPr>
            <w:r>
              <w:rPr>
                <w:rFonts w:eastAsia="Times New Roman" w:cs="Calibri"/>
                <w:color w:val="000000"/>
              </w:rPr>
              <w:t>8666</w:t>
            </w:r>
          </w:p>
        </w:tc>
      </w:tr>
      <w:tr w:rsidR="00013B11" w:rsidRPr="00102057" w14:paraId="0E79CC8A"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711F3669" w14:textId="77777777" w:rsidR="00013B11" w:rsidRPr="00102057" w:rsidRDefault="00013B11" w:rsidP="00102057">
            <w:pPr>
              <w:jc w:val="right"/>
              <w:rPr>
                <w:rFonts w:eastAsia="Times New Roman" w:cs="Calibri"/>
                <w:color w:val="000000"/>
              </w:rPr>
            </w:pPr>
            <w:r w:rsidRPr="00102057">
              <w:rPr>
                <w:rFonts w:eastAsia="Times New Roman" w:cs="Calibri"/>
                <w:color w:val="000000"/>
              </w:rPr>
              <w:t>11/1/202</w:t>
            </w:r>
            <w:r>
              <w:rPr>
                <w:rFonts w:eastAsia="Times New Roman" w:cs="Calibri"/>
                <w:color w:val="000000"/>
              </w:rPr>
              <w:t>3</w:t>
            </w:r>
          </w:p>
        </w:tc>
        <w:tc>
          <w:tcPr>
            <w:tcW w:w="960" w:type="dxa"/>
            <w:tcBorders>
              <w:top w:val="nil"/>
              <w:left w:val="nil"/>
              <w:bottom w:val="single" w:sz="4" w:space="0" w:color="auto"/>
              <w:right w:val="single" w:sz="4" w:space="0" w:color="auto"/>
            </w:tcBorders>
            <w:noWrap/>
            <w:vAlign w:val="bottom"/>
            <w:hideMark/>
          </w:tcPr>
          <w:p w14:paraId="557760F1" w14:textId="77777777" w:rsidR="00013B11" w:rsidRPr="00102057" w:rsidRDefault="00013B11" w:rsidP="00102057">
            <w:pPr>
              <w:jc w:val="right"/>
              <w:rPr>
                <w:rFonts w:eastAsia="Times New Roman" w:cs="Calibri"/>
                <w:color w:val="000000"/>
              </w:rPr>
            </w:pPr>
            <w:r>
              <w:rPr>
                <w:rFonts w:eastAsia="Times New Roman" w:cs="Calibri"/>
                <w:color w:val="000000"/>
              </w:rPr>
              <w:t>7885</w:t>
            </w:r>
          </w:p>
        </w:tc>
        <w:tc>
          <w:tcPr>
            <w:tcW w:w="1120" w:type="dxa"/>
            <w:tcBorders>
              <w:top w:val="nil"/>
              <w:left w:val="nil"/>
              <w:bottom w:val="single" w:sz="4" w:space="0" w:color="auto"/>
              <w:right w:val="single" w:sz="4" w:space="0" w:color="auto"/>
            </w:tcBorders>
            <w:noWrap/>
            <w:vAlign w:val="bottom"/>
            <w:hideMark/>
          </w:tcPr>
          <w:p w14:paraId="5FCECEB2" w14:textId="77777777" w:rsidR="00013B11" w:rsidRPr="00102057" w:rsidRDefault="00013B11" w:rsidP="00102057">
            <w:pPr>
              <w:jc w:val="right"/>
              <w:rPr>
                <w:rFonts w:eastAsia="Times New Roman" w:cs="Calibri"/>
                <w:color w:val="000000"/>
              </w:rPr>
            </w:pPr>
            <w:r>
              <w:rPr>
                <w:rFonts w:eastAsia="Times New Roman" w:cs="Calibri"/>
                <w:color w:val="000000"/>
              </w:rPr>
              <w:t>421</w:t>
            </w:r>
          </w:p>
        </w:tc>
        <w:tc>
          <w:tcPr>
            <w:tcW w:w="960" w:type="dxa"/>
            <w:tcBorders>
              <w:top w:val="nil"/>
              <w:left w:val="nil"/>
              <w:bottom w:val="single" w:sz="4" w:space="0" w:color="auto"/>
              <w:right w:val="single" w:sz="4" w:space="0" w:color="auto"/>
            </w:tcBorders>
            <w:noWrap/>
            <w:vAlign w:val="bottom"/>
            <w:hideMark/>
          </w:tcPr>
          <w:p w14:paraId="1BDC7801" w14:textId="77777777" w:rsidR="00013B11" w:rsidRPr="00102057" w:rsidRDefault="00013B11" w:rsidP="00102057">
            <w:pPr>
              <w:jc w:val="right"/>
              <w:rPr>
                <w:rFonts w:eastAsia="Times New Roman" w:cs="Calibri"/>
                <w:color w:val="000000"/>
              </w:rPr>
            </w:pPr>
            <w:r>
              <w:rPr>
                <w:rFonts w:eastAsia="Times New Roman" w:cs="Calibri"/>
                <w:color w:val="000000"/>
              </w:rPr>
              <w:t>316</w:t>
            </w:r>
          </w:p>
        </w:tc>
        <w:tc>
          <w:tcPr>
            <w:tcW w:w="1520" w:type="dxa"/>
            <w:tcBorders>
              <w:top w:val="nil"/>
              <w:left w:val="nil"/>
              <w:bottom w:val="single" w:sz="4" w:space="0" w:color="auto"/>
              <w:right w:val="single" w:sz="4" w:space="0" w:color="auto"/>
            </w:tcBorders>
            <w:noWrap/>
            <w:vAlign w:val="bottom"/>
            <w:hideMark/>
          </w:tcPr>
          <w:p w14:paraId="73F48312" w14:textId="77777777" w:rsidR="00013B11" w:rsidRPr="00102057" w:rsidRDefault="00013B11" w:rsidP="00102057">
            <w:pPr>
              <w:jc w:val="right"/>
              <w:rPr>
                <w:rFonts w:eastAsia="Times New Roman" w:cs="Calibri"/>
                <w:color w:val="000000"/>
              </w:rPr>
            </w:pPr>
            <w:r>
              <w:rPr>
                <w:rFonts w:eastAsia="Times New Roman" w:cs="Calibri"/>
                <w:color w:val="000000"/>
              </w:rPr>
              <w:t>57</w:t>
            </w:r>
          </w:p>
        </w:tc>
        <w:tc>
          <w:tcPr>
            <w:tcW w:w="960" w:type="dxa"/>
            <w:tcBorders>
              <w:top w:val="nil"/>
              <w:left w:val="nil"/>
              <w:bottom w:val="single" w:sz="4" w:space="0" w:color="auto"/>
              <w:right w:val="single" w:sz="4" w:space="0" w:color="auto"/>
            </w:tcBorders>
            <w:noWrap/>
            <w:vAlign w:val="bottom"/>
            <w:hideMark/>
          </w:tcPr>
          <w:p w14:paraId="06553909" w14:textId="77777777" w:rsidR="00013B11" w:rsidRPr="00102057" w:rsidRDefault="00013B11" w:rsidP="00102057">
            <w:pPr>
              <w:jc w:val="right"/>
              <w:rPr>
                <w:rFonts w:eastAsia="Times New Roman" w:cs="Calibri"/>
                <w:color w:val="000000"/>
              </w:rPr>
            </w:pPr>
            <w:r>
              <w:rPr>
                <w:rFonts w:eastAsia="Times New Roman" w:cs="Calibri"/>
                <w:color w:val="000000"/>
              </w:rPr>
              <w:t>8679</w:t>
            </w:r>
          </w:p>
        </w:tc>
      </w:tr>
      <w:tr w:rsidR="00013B11" w:rsidRPr="00102057" w14:paraId="52A91F5E"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71A87B6F" w14:textId="77777777" w:rsidR="00013B11" w:rsidRPr="00102057" w:rsidRDefault="00013B11" w:rsidP="00102057">
            <w:pPr>
              <w:jc w:val="right"/>
              <w:rPr>
                <w:rFonts w:eastAsia="Times New Roman" w:cs="Calibri"/>
                <w:color w:val="000000"/>
              </w:rPr>
            </w:pPr>
            <w:r w:rsidRPr="00102057">
              <w:rPr>
                <w:rFonts w:eastAsia="Times New Roman" w:cs="Calibri"/>
                <w:color w:val="000000"/>
              </w:rPr>
              <w:t>12/1/202</w:t>
            </w:r>
            <w:r>
              <w:rPr>
                <w:rFonts w:eastAsia="Times New Roman" w:cs="Calibri"/>
                <w:color w:val="000000"/>
              </w:rPr>
              <w:t>3</w:t>
            </w:r>
          </w:p>
        </w:tc>
        <w:tc>
          <w:tcPr>
            <w:tcW w:w="960" w:type="dxa"/>
            <w:tcBorders>
              <w:top w:val="nil"/>
              <w:left w:val="nil"/>
              <w:bottom w:val="single" w:sz="4" w:space="0" w:color="auto"/>
              <w:right w:val="single" w:sz="4" w:space="0" w:color="auto"/>
            </w:tcBorders>
            <w:noWrap/>
            <w:vAlign w:val="bottom"/>
            <w:hideMark/>
          </w:tcPr>
          <w:p w14:paraId="67943F18" w14:textId="77777777" w:rsidR="00013B11" w:rsidRPr="00102057" w:rsidRDefault="00013B11" w:rsidP="00102057">
            <w:pPr>
              <w:jc w:val="right"/>
              <w:rPr>
                <w:rFonts w:eastAsia="Times New Roman" w:cs="Calibri"/>
                <w:color w:val="000000"/>
              </w:rPr>
            </w:pPr>
            <w:r>
              <w:rPr>
                <w:rFonts w:eastAsia="Times New Roman" w:cs="Calibri"/>
                <w:color w:val="000000"/>
              </w:rPr>
              <w:t>7875</w:t>
            </w:r>
          </w:p>
        </w:tc>
        <w:tc>
          <w:tcPr>
            <w:tcW w:w="1120" w:type="dxa"/>
            <w:tcBorders>
              <w:top w:val="nil"/>
              <w:left w:val="nil"/>
              <w:bottom w:val="single" w:sz="4" w:space="0" w:color="auto"/>
              <w:right w:val="single" w:sz="4" w:space="0" w:color="auto"/>
            </w:tcBorders>
            <w:noWrap/>
            <w:vAlign w:val="bottom"/>
            <w:hideMark/>
          </w:tcPr>
          <w:p w14:paraId="3D45599B" w14:textId="77777777" w:rsidR="00013B11" w:rsidRPr="00102057" w:rsidRDefault="00013B11" w:rsidP="00102057">
            <w:pPr>
              <w:jc w:val="right"/>
              <w:rPr>
                <w:rFonts w:eastAsia="Times New Roman" w:cs="Calibri"/>
                <w:color w:val="000000"/>
              </w:rPr>
            </w:pPr>
            <w:r>
              <w:rPr>
                <w:rFonts w:eastAsia="Times New Roman" w:cs="Calibri"/>
                <w:color w:val="000000"/>
              </w:rPr>
              <w:t>426</w:t>
            </w:r>
          </w:p>
        </w:tc>
        <w:tc>
          <w:tcPr>
            <w:tcW w:w="960" w:type="dxa"/>
            <w:tcBorders>
              <w:top w:val="nil"/>
              <w:left w:val="nil"/>
              <w:bottom w:val="single" w:sz="4" w:space="0" w:color="auto"/>
              <w:right w:val="single" w:sz="4" w:space="0" w:color="auto"/>
            </w:tcBorders>
            <w:noWrap/>
            <w:vAlign w:val="bottom"/>
            <w:hideMark/>
          </w:tcPr>
          <w:p w14:paraId="288B59A4" w14:textId="77777777" w:rsidR="00013B11" w:rsidRPr="00102057" w:rsidRDefault="00013B11" w:rsidP="00102057">
            <w:pPr>
              <w:jc w:val="right"/>
              <w:rPr>
                <w:rFonts w:eastAsia="Times New Roman" w:cs="Calibri"/>
                <w:color w:val="000000"/>
              </w:rPr>
            </w:pPr>
            <w:r>
              <w:rPr>
                <w:rFonts w:eastAsia="Times New Roman" w:cs="Calibri"/>
                <w:color w:val="000000"/>
              </w:rPr>
              <w:t>316</w:t>
            </w:r>
          </w:p>
        </w:tc>
        <w:tc>
          <w:tcPr>
            <w:tcW w:w="1520" w:type="dxa"/>
            <w:tcBorders>
              <w:top w:val="nil"/>
              <w:left w:val="nil"/>
              <w:bottom w:val="single" w:sz="4" w:space="0" w:color="auto"/>
              <w:right w:val="single" w:sz="4" w:space="0" w:color="auto"/>
            </w:tcBorders>
            <w:noWrap/>
            <w:vAlign w:val="bottom"/>
            <w:hideMark/>
          </w:tcPr>
          <w:p w14:paraId="04FAA340" w14:textId="77777777" w:rsidR="00013B11" w:rsidRPr="00102057" w:rsidRDefault="00013B11" w:rsidP="00102057">
            <w:pPr>
              <w:jc w:val="right"/>
              <w:rPr>
                <w:rFonts w:eastAsia="Times New Roman" w:cs="Calibri"/>
                <w:color w:val="000000"/>
              </w:rPr>
            </w:pPr>
            <w:r>
              <w:rPr>
                <w:rFonts w:eastAsia="Times New Roman" w:cs="Calibri"/>
                <w:color w:val="000000"/>
              </w:rPr>
              <w:t>57</w:t>
            </w:r>
          </w:p>
        </w:tc>
        <w:tc>
          <w:tcPr>
            <w:tcW w:w="960" w:type="dxa"/>
            <w:tcBorders>
              <w:top w:val="nil"/>
              <w:left w:val="nil"/>
              <w:bottom w:val="single" w:sz="4" w:space="0" w:color="auto"/>
              <w:right w:val="single" w:sz="4" w:space="0" w:color="auto"/>
            </w:tcBorders>
            <w:noWrap/>
            <w:vAlign w:val="bottom"/>
            <w:hideMark/>
          </w:tcPr>
          <w:p w14:paraId="1E558A58" w14:textId="77777777" w:rsidR="00013B11" w:rsidRPr="00102057" w:rsidRDefault="00013B11" w:rsidP="00102057">
            <w:pPr>
              <w:jc w:val="right"/>
              <w:rPr>
                <w:rFonts w:eastAsia="Times New Roman" w:cs="Calibri"/>
                <w:color w:val="000000"/>
              </w:rPr>
            </w:pPr>
            <w:r>
              <w:rPr>
                <w:rFonts w:eastAsia="Times New Roman" w:cs="Calibri"/>
                <w:color w:val="000000"/>
              </w:rPr>
              <w:t>8674</w:t>
            </w:r>
          </w:p>
        </w:tc>
      </w:tr>
      <w:tr w:rsidR="00013B11" w:rsidRPr="00102057" w14:paraId="38AB8527"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3D254B57" w14:textId="77777777" w:rsidR="00013B11" w:rsidRPr="00102057" w:rsidRDefault="00013B11" w:rsidP="00102057">
            <w:pPr>
              <w:jc w:val="right"/>
              <w:rPr>
                <w:rFonts w:eastAsia="Times New Roman" w:cs="Calibri"/>
                <w:color w:val="000000"/>
              </w:rPr>
            </w:pPr>
            <w:r w:rsidRPr="00102057">
              <w:rPr>
                <w:rFonts w:eastAsia="Times New Roman" w:cs="Calibri"/>
                <w:color w:val="000000"/>
              </w:rPr>
              <w:t>1/1/202</w:t>
            </w:r>
            <w:r>
              <w:rPr>
                <w:rFonts w:eastAsia="Times New Roman" w:cs="Calibri"/>
                <w:color w:val="000000"/>
              </w:rPr>
              <w:t>4</w:t>
            </w:r>
          </w:p>
        </w:tc>
        <w:tc>
          <w:tcPr>
            <w:tcW w:w="960" w:type="dxa"/>
            <w:tcBorders>
              <w:top w:val="nil"/>
              <w:left w:val="nil"/>
              <w:bottom w:val="single" w:sz="4" w:space="0" w:color="auto"/>
              <w:right w:val="single" w:sz="4" w:space="0" w:color="auto"/>
            </w:tcBorders>
            <w:noWrap/>
            <w:vAlign w:val="bottom"/>
            <w:hideMark/>
          </w:tcPr>
          <w:p w14:paraId="5AC81B8D" w14:textId="77777777" w:rsidR="00013B11" w:rsidRPr="00102057" w:rsidRDefault="00013B11" w:rsidP="00102057">
            <w:pPr>
              <w:jc w:val="right"/>
              <w:rPr>
                <w:rFonts w:eastAsia="Times New Roman" w:cs="Calibri"/>
                <w:color w:val="000000"/>
              </w:rPr>
            </w:pPr>
            <w:r>
              <w:rPr>
                <w:rFonts w:eastAsia="Times New Roman" w:cs="Calibri"/>
                <w:color w:val="000000"/>
              </w:rPr>
              <w:t>7884</w:t>
            </w:r>
          </w:p>
        </w:tc>
        <w:tc>
          <w:tcPr>
            <w:tcW w:w="1120" w:type="dxa"/>
            <w:tcBorders>
              <w:top w:val="nil"/>
              <w:left w:val="nil"/>
              <w:bottom w:val="single" w:sz="4" w:space="0" w:color="auto"/>
              <w:right w:val="single" w:sz="4" w:space="0" w:color="auto"/>
            </w:tcBorders>
            <w:noWrap/>
            <w:vAlign w:val="bottom"/>
            <w:hideMark/>
          </w:tcPr>
          <w:p w14:paraId="49D5CCFC" w14:textId="77777777" w:rsidR="00013B11" w:rsidRPr="00102057" w:rsidRDefault="00013B11" w:rsidP="00102057">
            <w:pPr>
              <w:jc w:val="right"/>
              <w:rPr>
                <w:rFonts w:eastAsia="Times New Roman" w:cs="Calibri"/>
                <w:color w:val="000000"/>
              </w:rPr>
            </w:pPr>
            <w:r>
              <w:rPr>
                <w:rFonts w:eastAsia="Times New Roman" w:cs="Calibri"/>
                <w:color w:val="000000"/>
              </w:rPr>
              <w:t>431</w:t>
            </w:r>
          </w:p>
        </w:tc>
        <w:tc>
          <w:tcPr>
            <w:tcW w:w="960" w:type="dxa"/>
            <w:tcBorders>
              <w:top w:val="nil"/>
              <w:left w:val="nil"/>
              <w:bottom w:val="single" w:sz="4" w:space="0" w:color="auto"/>
              <w:right w:val="single" w:sz="4" w:space="0" w:color="auto"/>
            </w:tcBorders>
            <w:noWrap/>
            <w:vAlign w:val="bottom"/>
            <w:hideMark/>
          </w:tcPr>
          <w:p w14:paraId="2A25B471" w14:textId="77777777" w:rsidR="00013B11" w:rsidRPr="00102057" w:rsidRDefault="00013B11" w:rsidP="00102057">
            <w:pPr>
              <w:jc w:val="right"/>
              <w:rPr>
                <w:rFonts w:eastAsia="Times New Roman" w:cs="Calibri"/>
                <w:color w:val="000000"/>
              </w:rPr>
            </w:pPr>
            <w:r>
              <w:rPr>
                <w:rFonts w:eastAsia="Times New Roman" w:cs="Calibri"/>
                <w:color w:val="000000"/>
              </w:rPr>
              <w:t>310</w:t>
            </w:r>
          </w:p>
        </w:tc>
        <w:tc>
          <w:tcPr>
            <w:tcW w:w="1520" w:type="dxa"/>
            <w:tcBorders>
              <w:top w:val="nil"/>
              <w:left w:val="nil"/>
              <w:bottom w:val="single" w:sz="4" w:space="0" w:color="auto"/>
              <w:right w:val="single" w:sz="4" w:space="0" w:color="auto"/>
            </w:tcBorders>
            <w:noWrap/>
            <w:vAlign w:val="bottom"/>
            <w:hideMark/>
          </w:tcPr>
          <w:p w14:paraId="0388252D" w14:textId="77777777" w:rsidR="00013B11" w:rsidRPr="00102057" w:rsidRDefault="00013B11" w:rsidP="00102057">
            <w:pPr>
              <w:jc w:val="right"/>
              <w:rPr>
                <w:rFonts w:eastAsia="Times New Roman" w:cs="Calibri"/>
                <w:color w:val="000000"/>
              </w:rPr>
            </w:pPr>
            <w:r>
              <w:rPr>
                <w:rFonts w:eastAsia="Times New Roman" w:cs="Calibri"/>
                <w:color w:val="000000"/>
              </w:rPr>
              <w:t>57</w:t>
            </w:r>
          </w:p>
        </w:tc>
        <w:tc>
          <w:tcPr>
            <w:tcW w:w="960" w:type="dxa"/>
            <w:tcBorders>
              <w:top w:val="nil"/>
              <w:left w:val="nil"/>
              <w:bottom w:val="single" w:sz="4" w:space="0" w:color="auto"/>
              <w:right w:val="single" w:sz="4" w:space="0" w:color="auto"/>
            </w:tcBorders>
            <w:noWrap/>
            <w:vAlign w:val="bottom"/>
            <w:hideMark/>
          </w:tcPr>
          <w:p w14:paraId="1906E5D3" w14:textId="77777777" w:rsidR="00013B11" w:rsidRPr="00102057" w:rsidRDefault="00013B11" w:rsidP="00102057">
            <w:pPr>
              <w:jc w:val="right"/>
              <w:rPr>
                <w:rFonts w:eastAsia="Times New Roman" w:cs="Calibri"/>
                <w:color w:val="000000"/>
              </w:rPr>
            </w:pPr>
            <w:r>
              <w:rPr>
                <w:rFonts w:eastAsia="Times New Roman" w:cs="Calibri"/>
                <w:color w:val="000000"/>
              </w:rPr>
              <w:t>8682</w:t>
            </w:r>
          </w:p>
        </w:tc>
      </w:tr>
      <w:tr w:rsidR="00013B11" w:rsidRPr="00102057" w14:paraId="31A05B0A"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271FF72C" w14:textId="77777777" w:rsidR="00013B11" w:rsidRPr="00102057" w:rsidRDefault="00013B11" w:rsidP="00102057">
            <w:pPr>
              <w:jc w:val="right"/>
              <w:rPr>
                <w:rFonts w:eastAsia="Times New Roman" w:cs="Calibri"/>
                <w:color w:val="000000"/>
              </w:rPr>
            </w:pPr>
            <w:r w:rsidRPr="00102057">
              <w:rPr>
                <w:rFonts w:eastAsia="Times New Roman" w:cs="Calibri"/>
                <w:color w:val="000000"/>
              </w:rPr>
              <w:t>2/1/202</w:t>
            </w:r>
            <w:r>
              <w:rPr>
                <w:rFonts w:eastAsia="Times New Roman" w:cs="Calibri"/>
                <w:color w:val="000000"/>
              </w:rPr>
              <w:t>4</w:t>
            </w:r>
          </w:p>
        </w:tc>
        <w:tc>
          <w:tcPr>
            <w:tcW w:w="960" w:type="dxa"/>
            <w:tcBorders>
              <w:top w:val="nil"/>
              <w:left w:val="nil"/>
              <w:bottom w:val="single" w:sz="4" w:space="0" w:color="auto"/>
              <w:right w:val="single" w:sz="4" w:space="0" w:color="auto"/>
            </w:tcBorders>
            <w:noWrap/>
            <w:vAlign w:val="bottom"/>
            <w:hideMark/>
          </w:tcPr>
          <w:p w14:paraId="105A09D6" w14:textId="77777777" w:rsidR="00013B11" w:rsidRPr="00102057" w:rsidRDefault="00013B11" w:rsidP="00102057">
            <w:pPr>
              <w:jc w:val="right"/>
              <w:rPr>
                <w:rFonts w:eastAsia="Times New Roman" w:cs="Calibri"/>
                <w:color w:val="000000"/>
              </w:rPr>
            </w:pPr>
            <w:r>
              <w:rPr>
                <w:rFonts w:eastAsia="Times New Roman" w:cs="Calibri"/>
                <w:color w:val="000000"/>
              </w:rPr>
              <w:t>7912</w:t>
            </w:r>
          </w:p>
        </w:tc>
        <w:tc>
          <w:tcPr>
            <w:tcW w:w="1120" w:type="dxa"/>
            <w:tcBorders>
              <w:top w:val="nil"/>
              <w:left w:val="nil"/>
              <w:bottom w:val="single" w:sz="4" w:space="0" w:color="auto"/>
              <w:right w:val="single" w:sz="4" w:space="0" w:color="auto"/>
            </w:tcBorders>
            <w:noWrap/>
            <w:vAlign w:val="bottom"/>
            <w:hideMark/>
          </w:tcPr>
          <w:p w14:paraId="693808B8" w14:textId="77777777" w:rsidR="00013B11" w:rsidRPr="00102057" w:rsidRDefault="00013B11" w:rsidP="00102057">
            <w:pPr>
              <w:jc w:val="right"/>
              <w:rPr>
                <w:rFonts w:eastAsia="Times New Roman" w:cs="Calibri"/>
                <w:color w:val="000000"/>
              </w:rPr>
            </w:pPr>
            <w:r>
              <w:rPr>
                <w:rFonts w:eastAsia="Times New Roman" w:cs="Calibri"/>
                <w:color w:val="000000"/>
              </w:rPr>
              <w:t>431</w:t>
            </w:r>
          </w:p>
        </w:tc>
        <w:tc>
          <w:tcPr>
            <w:tcW w:w="960" w:type="dxa"/>
            <w:tcBorders>
              <w:top w:val="nil"/>
              <w:left w:val="nil"/>
              <w:bottom w:val="single" w:sz="4" w:space="0" w:color="auto"/>
              <w:right w:val="single" w:sz="4" w:space="0" w:color="auto"/>
            </w:tcBorders>
            <w:noWrap/>
            <w:vAlign w:val="bottom"/>
            <w:hideMark/>
          </w:tcPr>
          <w:p w14:paraId="25B35A9B" w14:textId="77777777" w:rsidR="00013B11" w:rsidRPr="00102057" w:rsidRDefault="00013B11" w:rsidP="00102057">
            <w:pPr>
              <w:jc w:val="right"/>
              <w:rPr>
                <w:rFonts w:eastAsia="Times New Roman" w:cs="Calibri"/>
                <w:color w:val="000000"/>
              </w:rPr>
            </w:pPr>
            <w:r>
              <w:rPr>
                <w:rFonts w:eastAsia="Times New Roman" w:cs="Calibri"/>
                <w:color w:val="000000"/>
              </w:rPr>
              <w:t>306</w:t>
            </w:r>
          </w:p>
        </w:tc>
        <w:tc>
          <w:tcPr>
            <w:tcW w:w="1520" w:type="dxa"/>
            <w:tcBorders>
              <w:top w:val="nil"/>
              <w:left w:val="nil"/>
              <w:bottom w:val="single" w:sz="4" w:space="0" w:color="auto"/>
              <w:right w:val="single" w:sz="4" w:space="0" w:color="auto"/>
            </w:tcBorders>
            <w:noWrap/>
            <w:vAlign w:val="bottom"/>
            <w:hideMark/>
          </w:tcPr>
          <w:p w14:paraId="6CA7A507" w14:textId="77777777" w:rsidR="00013B11" w:rsidRPr="00102057" w:rsidRDefault="00013B11" w:rsidP="00102057">
            <w:pPr>
              <w:jc w:val="right"/>
              <w:rPr>
                <w:rFonts w:eastAsia="Times New Roman" w:cs="Calibri"/>
                <w:color w:val="000000"/>
              </w:rPr>
            </w:pPr>
            <w:r>
              <w:rPr>
                <w:rFonts w:eastAsia="Times New Roman" w:cs="Calibri"/>
                <w:color w:val="000000"/>
              </w:rPr>
              <w:t>56</w:t>
            </w:r>
          </w:p>
        </w:tc>
        <w:tc>
          <w:tcPr>
            <w:tcW w:w="960" w:type="dxa"/>
            <w:tcBorders>
              <w:top w:val="nil"/>
              <w:left w:val="nil"/>
              <w:bottom w:val="single" w:sz="4" w:space="0" w:color="auto"/>
              <w:right w:val="single" w:sz="4" w:space="0" w:color="auto"/>
            </w:tcBorders>
            <w:noWrap/>
            <w:vAlign w:val="bottom"/>
            <w:hideMark/>
          </w:tcPr>
          <w:p w14:paraId="7672EAA3" w14:textId="77777777" w:rsidR="00013B11" w:rsidRPr="00102057" w:rsidRDefault="00013B11" w:rsidP="00102057">
            <w:pPr>
              <w:jc w:val="right"/>
              <w:rPr>
                <w:rFonts w:eastAsia="Times New Roman" w:cs="Calibri"/>
                <w:color w:val="000000"/>
              </w:rPr>
            </w:pPr>
            <w:r>
              <w:rPr>
                <w:rFonts w:eastAsia="Times New Roman" w:cs="Calibri"/>
                <w:color w:val="000000"/>
              </w:rPr>
              <w:t>8705</w:t>
            </w:r>
          </w:p>
        </w:tc>
      </w:tr>
      <w:tr w:rsidR="00013B11" w:rsidRPr="00102057" w14:paraId="6B36DDEC"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6FD150CB" w14:textId="77777777" w:rsidR="00013B11" w:rsidRPr="00102057" w:rsidRDefault="00013B11" w:rsidP="00102057">
            <w:pPr>
              <w:jc w:val="right"/>
              <w:rPr>
                <w:rFonts w:eastAsia="Times New Roman" w:cs="Calibri"/>
                <w:color w:val="000000"/>
              </w:rPr>
            </w:pPr>
            <w:r w:rsidRPr="00102057">
              <w:rPr>
                <w:rFonts w:eastAsia="Times New Roman" w:cs="Calibri"/>
                <w:color w:val="000000"/>
              </w:rPr>
              <w:t>3/1/202</w:t>
            </w:r>
            <w:r>
              <w:rPr>
                <w:rFonts w:eastAsia="Times New Roman" w:cs="Calibri"/>
                <w:color w:val="000000"/>
              </w:rPr>
              <w:t>4</w:t>
            </w:r>
          </w:p>
        </w:tc>
        <w:tc>
          <w:tcPr>
            <w:tcW w:w="960" w:type="dxa"/>
            <w:tcBorders>
              <w:top w:val="nil"/>
              <w:left w:val="nil"/>
              <w:bottom w:val="single" w:sz="4" w:space="0" w:color="auto"/>
              <w:right w:val="single" w:sz="4" w:space="0" w:color="auto"/>
            </w:tcBorders>
            <w:noWrap/>
            <w:vAlign w:val="bottom"/>
            <w:hideMark/>
          </w:tcPr>
          <w:p w14:paraId="4C15647F" w14:textId="77777777" w:rsidR="00013B11" w:rsidRPr="00102057" w:rsidRDefault="00013B11" w:rsidP="00102057">
            <w:pPr>
              <w:jc w:val="right"/>
              <w:rPr>
                <w:rFonts w:eastAsia="Times New Roman" w:cs="Calibri"/>
                <w:color w:val="000000"/>
              </w:rPr>
            </w:pPr>
            <w:r>
              <w:rPr>
                <w:rFonts w:eastAsia="Times New Roman" w:cs="Calibri"/>
                <w:color w:val="000000"/>
              </w:rPr>
              <w:t>7937</w:t>
            </w:r>
          </w:p>
        </w:tc>
        <w:tc>
          <w:tcPr>
            <w:tcW w:w="1120" w:type="dxa"/>
            <w:tcBorders>
              <w:top w:val="nil"/>
              <w:left w:val="nil"/>
              <w:bottom w:val="single" w:sz="4" w:space="0" w:color="auto"/>
              <w:right w:val="single" w:sz="4" w:space="0" w:color="auto"/>
            </w:tcBorders>
            <w:noWrap/>
            <w:vAlign w:val="bottom"/>
            <w:hideMark/>
          </w:tcPr>
          <w:p w14:paraId="6BBD3393" w14:textId="77777777" w:rsidR="00013B11" w:rsidRPr="00102057" w:rsidRDefault="00013B11" w:rsidP="00102057">
            <w:pPr>
              <w:jc w:val="right"/>
              <w:rPr>
                <w:rFonts w:eastAsia="Times New Roman" w:cs="Calibri"/>
                <w:color w:val="000000"/>
              </w:rPr>
            </w:pPr>
            <w:r>
              <w:rPr>
                <w:rFonts w:eastAsia="Times New Roman" w:cs="Calibri"/>
                <w:color w:val="000000"/>
              </w:rPr>
              <w:t>430</w:t>
            </w:r>
          </w:p>
        </w:tc>
        <w:tc>
          <w:tcPr>
            <w:tcW w:w="960" w:type="dxa"/>
            <w:tcBorders>
              <w:top w:val="nil"/>
              <w:left w:val="nil"/>
              <w:bottom w:val="single" w:sz="4" w:space="0" w:color="auto"/>
              <w:right w:val="single" w:sz="4" w:space="0" w:color="auto"/>
            </w:tcBorders>
            <w:noWrap/>
            <w:vAlign w:val="bottom"/>
            <w:hideMark/>
          </w:tcPr>
          <w:p w14:paraId="54708DA1" w14:textId="77777777" w:rsidR="00013B11" w:rsidRPr="00102057" w:rsidRDefault="00013B11" w:rsidP="00102057">
            <w:pPr>
              <w:jc w:val="right"/>
              <w:rPr>
                <w:rFonts w:eastAsia="Times New Roman" w:cs="Calibri"/>
                <w:color w:val="000000"/>
              </w:rPr>
            </w:pPr>
            <w:r>
              <w:rPr>
                <w:rFonts w:eastAsia="Times New Roman" w:cs="Calibri"/>
                <w:color w:val="000000"/>
              </w:rPr>
              <w:t>304</w:t>
            </w:r>
          </w:p>
        </w:tc>
        <w:tc>
          <w:tcPr>
            <w:tcW w:w="1520" w:type="dxa"/>
            <w:tcBorders>
              <w:top w:val="nil"/>
              <w:left w:val="nil"/>
              <w:bottom w:val="single" w:sz="4" w:space="0" w:color="auto"/>
              <w:right w:val="single" w:sz="4" w:space="0" w:color="auto"/>
            </w:tcBorders>
            <w:noWrap/>
            <w:vAlign w:val="bottom"/>
            <w:hideMark/>
          </w:tcPr>
          <w:p w14:paraId="7CF643CF" w14:textId="77777777" w:rsidR="00013B11" w:rsidRPr="00102057" w:rsidRDefault="00013B11" w:rsidP="00102057">
            <w:pPr>
              <w:jc w:val="right"/>
              <w:rPr>
                <w:rFonts w:eastAsia="Times New Roman" w:cs="Calibri"/>
                <w:color w:val="000000"/>
              </w:rPr>
            </w:pPr>
            <w:r>
              <w:rPr>
                <w:rFonts w:eastAsia="Times New Roman" w:cs="Calibri"/>
                <w:color w:val="000000"/>
              </w:rPr>
              <w:t>56</w:t>
            </w:r>
          </w:p>
        </w:tc>
        <w:tc>
          <w:tcPr>
            <w:tcW w:w="960" w:type="dxa"/>
            <w:tcBorders>
              <w:top w:val="nil"/>
              <w:left w:val="nil"/>
              <w:bottom w:val="single" w:sz="4" w:space="0" w:color="auto"/>
              <w:right w:val="single" w:sz="4" w:space="0" w:color="auto"/>
            </w:tcBorders>
            <w:noWrap/>
            <w:vAlign w:val="bottom"/>
            <w:hideMark/>
          </w:tcPr>
          <w:p w14:paraId="0E9452BD" w14:textId="77777777" w:rsidR="00013B11" w:rsidRPr="00102057" w:rsidRDefault="00013B11" w:rsidP="00102057">
            <w:pPr>
              <w:jc w:val="right"/>
              <w:rPr>
                <w:rFonts w:eastAsia="Times New Roman" w:cs="Calibri"/>
                <w:color w:val="000000"/>
              </w:rPr>
            </w:pPr>
            <w:r>
              <w:rPr>
                <w:rFonts w:eastAsia="Times New Roman" w:cs="Calibri"/>
                <w:color w:val="000000"/>
              </w:rPr>
              <w:t>8727</w:t>
            </w:r>
          </w:p>
        </w:tc>
      </w:tr>
      <w:tr w:rsidR="00013B11" w:rsidRPr="00102057" w14:paraId="403ADCF1"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32EC8898" w14:textId="77777777" w:rsidR="00013B11" w:rsidRPr="00102057" w:rsidRDefault="00013B11" w:rsidP="00102057">
            <w:pPr>
              <w:jc w:val="right"/>
              <w:rPr>
                <w:rFonts w:eastAsia="Times New Roman" w:cs="Calibri"/>
                <w:color w:val="000000"/>
              </w:rPr>
            </w:pPr>
            <w:r w:rsidRPr="00102057">
              <w:rPr>
                <w:rFonts w:eastAsia="Times New Roman" w:cs="Calibri"/>
                <w:color w:val="000000"/>
              </w:rPr>
              <w:t>4/1/202</w:t>
            </w:r>
            <w:r>
              <w:rPr>
                <w:rFonts w:eastAsia="Times New Roman" w:cs="Calibri"/>
                <w:color w:val="000000"/>
              </w:rPr>
              <w:t>4</w:t>
            </w:r>
          </w:p>
        </w:tc>
        <w:tc>
          <w:tcPr>
            <w:tcW w:w="960" w:type="dxa"/>
            <w:tcBorders>
              <w:top w:val="nil"/>
              <w:left w:val="nil"/>
              <w:bottom w:val="single" w:sz="4" w:space="0" w:color="auto"/>
              <w:right w:val="single" w:sz="4" w:space="0" w:color="auto"/>
            </w:tcBorders>
            <w:noWrap/>
            <w:vAlign w:val="bottom"/>
            <w:hideMark/>
          </w:tcPr>
          <w:p w14:paraId="3740EB63" w14:textId="77777777" w:rsidR="00013B11" w:rsidRPr="00102057" w:rsidRDefault="00013B11" w:rsidP="00102057">
            <w:pPr>
              <w:jc w:val="right"/>
              <w:rPr>
                <w:rFonts w:eastAsia="Times New Roman" w:cs="Calibri"/>
                <w:color w:val="000000"/>
              </w:rPr>
            </w:pPr>
            <w:r>
              <w:rPr>
                <w:rFonts w:eastAsia="Times New Roman" w:cs="Calibri"/>
                <w:color w:val="000000"/>
              </w:rPr>
              <w:t>7956</w:t>
            </w:r>
          </w:p>
        </w:tc>
        <w:tc>
          <w:tcPr>
            <w:tcW w:w="1120" w:type="dxa"/>
            <w:tcBorders>
              <w:top w:val="nil"/>
              <w:left w:val="nil"/>
              <w:bottom w:val="single" w:sz="4" w:space="0" w:color="auto"/>
              <w:right w:val="single" w:sz="4" w:space="0" w:color="auto"/>
            </w:tcBorders>
            <w:noWrap/>
            <w:vAlign w:val="bottom"/>
            <w:hideMark/>
          </w:tcPr>
          <w:p w14:paraId="50930955" w14:textId="77777777" w:rsidR="00013B11" w:rsidRPr="00102057" w:rsidRDefault="00013B11" w:rsidP="00102057">
            <w:pPr>
              <w:jc w:val="right"/>
              <w:rPr>
                <w:rFonts w:eastAsia="Times New Roman" w:cs="Calibri"/>
                <w:color w:val="000000"/>
              </w:rPr>
            </w:pPr>
            <w:r>
              <w:rPr>
                <w:rFonts w:eastAsia="Times New Roman" w:cs="Calibri"/>
                <w:color w:val="000000"/>
              </w:rPr>
              <w:t>433</w:t>
            </w:r>
          </w:p>
        </w:tc>
        <w:tc>
          <w:tcPr>
            <w:tcW w:w="960" w:type="dxa"/>
            <w:tcBorders>
              <w:top w:val="nil"/>
              <w:left w:val="nil"/>
              <w:bottom w:val="single" w:sz="4" w:space="0" w:color="auto"/>
              <w:right w:val="single" w:sz="4" w:space="0" w:color="auto"/>
            </w:tcBorders>
            <w:noWrap/>
            <w:vAlign w:val="bottom"/>
            <w:hideMark/>
          </w:tcPr>
          <w:p w14:paraId="33D9EFF3" w14:textId="77777777" w:rsidR="00013B11" w:rsidRPr="00102057" w:rsidRDefault="00013B11" w:rsidP="00102057">
            <w:pPr>
              <w:jc w:val="right"/>
              <w:rPr>
                <w:rFonts w:eastAsia="Times New Roman" w:cs="Calibri"/>
                <w:color w:val="000000"/>
              </w:rPr>
            </w:pPr>
            <w:r>
              <w:rPr>
                <w:rFonts w:eastAsia="Times New Roman" w:cs="Calibri"/>
                <w:color w:val="000000"/>
              </w:rPr>
              <w:t>298</w:t>
            </w:r>
          </w:p>
        </w:tc>
        <w:tc>
          <w:tcPr>
            <w:tcW w:w="1520" w:type="dxa"/>
            <w:tcBorders>
              <w:top w:val="nil"/>
              <w:left w:val="nil"/>
              <w:bottom w:val="single" w:sz="4" w:space="0" w:color="auto"/>
              <w:right w:val="single" w:sz="4" w:space="0" w:color="auto"/>
            </w:tcBorders>
            <w:noWrap/>
            <w:vAlign w:val="bottom"/>
            <w:hideMark/>
          </w:tcPr>
          <w:p w14:paraId="4AD71099" w14:textId="77777777" w:rsidR="00013B11" w:rsidRPr="00102057" w:rsidRDefault="00013B11" w:rsidP="00102057">
            <w:pPr>
              <w:jc w:val="right"/>
              <w:rPr>
                <w:rFonts w:eastAsia="Times New Roman" w:cs="Calibri"/>
                <w:color w:val="000000"/>
              </w:rPr>
            </w:pPr>
            <w:r>
              <w:rPr>
                <w:rFonts w:eastAsia="Times New Roman" w:cs="Calibri"/>
                <w:color w:val="000000"/>
              </w:rPr>
              <w:t>74</w:t>
            </w:r>
          </w:p>
        </w:tc>
        <w:tc>
          <w:tcPr>
            <w:tcW w:w="960" w:type="dxa"/>
            <w:tcBorders>
              <w:top w:val="nil"/>
              <w:left w:val="nil"/>
              <w:bottom w:val="single" w:sz="4" w:space="0" w:color="auto"/>
              <w:right w:val="single" w:sz="4" w:space="0" w:color="auto"/>
            </w:tcBorders>
            <w:noWrap/>
            <w:vAlign w:val="bottom"/>
            <w:hideMark/>
          </w:tcPr>
          <w:p w14:paraId="37A496D3" w14:textId="77777777" w:rsidR="00013B11" w:rsidRPr="00102057" w:rsidRDefault="009949C8" w:rsidP="00102057">
            <w:pPr>
              <w:jc w:val="right"/>
              <w:rPr>
                <w:rFonts w:eastAsia="Times New Roman" w:cs="Calibri"/>
                <w:color w:val="000000"/>
              </w:rPr>
            </w:pPr>
            <w:r>
              <w:rPr>
                <w:rFonts w:eastAsia="Times New Roman" w:cs="Calibri"/>
                <w:color w:val="000000"/>
              </w:rPr>
              <w:t>8761</w:t>
            </w:r>
          </w:p>
        </w:tc>
      </w:tr>
      <w:tr w:rsidR="00013B11" w:rsidRPr="00102057" w14:paraId="41F5F0F7"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2D3ADD8C" w14:textId="77777777" w:rsidR="00013B11" w:rsidRPr="00102057" w:rsidRDefault="00013B11" w:rsidP="00102057">
            <w:pPr>
              <w:jc w:val="right"/>
              <w:rPr>
                <w:rFonts w:eastAsia="Times New Roman" w:cs="Calibri"/>
                <w:color w:val="000000"/>
              </w:rPr>
            </w:pPr>
            <w:r w:rsidRPr="00102057">
              <w:rPr>
                <w:rFonts w:eastAsia="Times New Roman" w:cs="Calibri"/>
                <w:color w:val="000000"/>
              </w:rPr>
              <w:t>5/1/202</w:t>
            </w:r>
            <w:r>
              <w:rPr>
                <w:rFonts w:eastAsia="Times New Roman" w:cs="Calibri"/>
                <w:color w:val="000000"/>
              </w:rPr>
              <w:t>4</w:t>
            </w:r>
          </w:p>
        </w:tc>
        <w:tc>
          <w:tcPr>
            <w:tcW w:w="960" w:type="dxa"/>
            <w:tcBorders>
              <w:top w:val="nil"/>
              <w:left w:val="nil"/>
              <w:bottom w:val="single" w:sz="4" w:space="0" w:color="auto"/>
              <w:right w:val="single" w:sz="4" w:space="0" w:color="auto"/>
            </w:tcBorders>
            <w:noWrap/>
            <w:vAlign w:val="bottom"/>
            <w:hideMark/>
          </w:tcPr>
          <w:p w14:paraId="46520F16" w14:textId="77777777" w:rsidR="00013B11" w:rsidRPr="00102057" w:rsidRDefault="00013B11" w:rsidP="00102057">
            <w:pPr>
              <w:jc w:val="right"/>
              <w:rPr>
                <w:rFonts w:eastAsia="Times New Roman" w:cs="Calibri"/>
                <w:color w:val="000000"/>
              </w:rPr>
            </w:pPr>
            <w:r>
              <w:rPr>
                <w:rFonts w:eastAsia="Times New Roman" w:cs="Calibri"/>
                <w:color w:val="000000"/>
              </w:rPr>
              <w:t>8006</w:t>
            </w:r>
          </w:p>
        </w:tc>
        <w:tc>
          <w:tcPr>
            <w:tcW w:w="1120" w:type="dxa"/>
            <w:tcBorders>
              <w:top w:val="nil"/>
              <w:left w:val="nil"/>
              <w:bottom w:val="single" w:sz="4" w:space="0" w:color="auto"/>
              <w:right w:val="single" w:sz="4" w:space="0" w:color="auto"/>
            </w:tcBorders>
            <w:noWrap/>
            <w:vAlign w:val="bottom"/>
            <w:hideMark/>
          </w:tcPr>
          <w:p w14:paraId="5519A6EB" w14:textId="77777777" w:rsidR="00013B11" w:rsidRPr="00102057" w:rsidRDefault="00013B11" w:rsidP="00102057">
            <w:pPr>
              <w:jc w:val="right"/>
              <w:rPr>
                <w:rFonts w:eastAsia="Times New Roman" w:cs="Calibri"/>
                <w:color w:val="000000"/>
              </w:rPr>
            </w:pPr>
            <w:r>
              <w:rPr>
                <w:rFonts w:eastAsia="Times New Roman" w:cs="Calibri"/>
                <w:color w:val="000000"/>
              </w:rPr>
              <w:t>435</w:t>
            </w:r>
          </w:p>
        </w:tc>
        <w:tc>
          <w:tcPr>
            <w:tcW w:w="960" w:type="dxa"/>
            <w:tcBorders>
              <w:top w:val="nil"/>
              <w:left w:val="nil"/>
              <w:bottom w:val="single" w:sz="4" w:space="0" w:color="auto"/>
              <w:right w:val="single" w:sz="4" w:space="0" w:color="auto"/>
            </w:tcBorders>
            <w:noWrap/>
            <w:vAlign w:val="bottom"/>
            <w:hideMark/>
          </w:tcPr>
          <w:p w14:paraId="54255CBD" w14:textId="77777777" w:rsidR="00013B11" w:rsidRPr="00102057" w:rsidRDefault="00013B11" w:rsidP="00102057">
            <w:pPr>
              <w:jc w:val="right"/>
              <w:rPr>
                <w:rFonts w:eastAsia="Times New Roman" w:cs="Calibri"/>
                <w:color w:val="000000"/>
              </w:rPr>
            </w:pPr>
            <w:r>
              <w:rPr>
                <w:rFonts w:eastAsia="Times New Roman" w:cs="Calibri"/>
                <w:color w:val="000000"/>
              </w:rPr>
              <w:t>296</w:t>
            </w:r>
          </w:p>
        </w:tc>
        <w:tc>
          <w:tcPr>
            <w:tcW w:w="1520" w:type="dxa"/>
            <w:tcBorders>
              <w:top w:val="nil"/>
              <w:left w:val="nil"/>
              <w:bottom w:val="single" w:sz="4" w:space="0" w:color="auto"/>
              <w:right w:val="single" w:sz="4" w:space="0" w:color="auto"/>
            </w:tcBorders>
            <w:noWrap/>
            <w:vAlign w:val="bottom"/>
            <w:hideMark/>
          </w:tcPr>
          <w:p w14:paraId="3863908F" w14:textId="77777777" w:rsidR="00013B11" w:rsidRPr="00102057" w:rsidRDefault="00013B11" w:rsidP="00102057">
            <w:pPr>
              <w:jc w:val="right"/>
              <w:rPr>
                <w:rFonts w:eastAsia="Times New Roman" w:cs="Calibri"/>
                <w:color w:val="000000"/>
              </w:rPr>
            </w:pPr>
            <w:r>
              <w:rPr>
                <w:rFonts w:eastAsia="Times New Roman" w:cs="Calibri"/>
                <w:color w:val="000000"/>
              </w:rPr>
              <w:t>75</w:t>
            </w:r>
          </w:p>
        </w:tc>
        <w:tc>
          <w:tcPr>
            <w:tcW w:w="960" w:type="dxa"/>
            <w:tcBorders>
              <w:top w:val="nil"/>
              <w:left w:val="nil"/>
              <w:bottom w:val="single" w:sz="4" w:space="0" w:color="auto"/>
              <w:right w:val="single" w:sz="4" w:space="0" w:color="auto"/>
            </w:tcBorders>
            <w:noWrap/>
            <w:vAlign w:val="bottom"/>
            <w:hideMark/>
          </w:tcPr>
          <w:p w14:paraId="5EAD85E1" w14:textId="77777777" w:rsidR="00013B11" w:rsidRPr="00102057" w:rsidRDefault="009949C8" w:rsidP="00102057">
            <w:pPr>
              <w:jc w:val="right"/>
              <w:rPr>
                <w:rFonts w:eastAsia="Times New Roman" w:cs="Calibri"/>
                <w:color w:val="000000"/>
              </w:rPr>
            </w:pPr>
            <w:r>
              <w:rPr>
                <w:rFonts w:eastAsia="Times New Roman" w:cs="Calibri"/>
                <w:color w:val="000000"/>
              </w:rPr>
              <w:t>8812</w:t>
            </w:r>
          </w:p>
        </w:tc>
      </w:tr>
      <w:tr w:rsidR="00013B11" w:rsidRPr="00102057" w14:paraId="6DC920C8"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132A009C" w14:textId="77777777" w:rsidR="00013B11" w:rsidRPr="00102057" w:rsidRDefault="00013B11" w:rsidP="00102057">
            <w:pPr>
              <w:jc w:val="right"/>
              <w:rPr>
                <w:rFonts w:eastAsia="Times New Roman" w:cs="Calibri"/>
                <w:color w:val="000000"/>
              </w:rPr>
            </w:pPr>
            <w:r w:rsidRPr="00102057">
              <w:rPr>
                <w:rFonts w:eastAsia="Times New Roman" w:cs="Calibri"/>
                <w:color w:val="000000"/>
              </w:rPr>
              <w:t>6/1/202</w:t>
            </w:r>
            <w:r>
              <w:rPr>
                <w:rFonts w:eastAsia="Times New Roman" w:cs="Calibri"/>
                <w:color w:val="000000"/>
              </w:rPr>
              <w:t>4</w:t>
            </w:r>
          </w:p>
        </w:tc>
        <w:tc>
          <w:tcPr>
            <w:tcW w:w="960" w:type="dxa"/>
            <w:tcBorders>
              <w:top w:val="nil"/>
              <w:left w:val="nil"/>
              <w:bottom w:val="single" w:sz="4" w:space="0" w:color="auto"/>
              <w:right w:val="single" w:sz="4" w:space="0" w:color="auto"/>
            </w:tcBorders>
            <w:noWrap/>
            <w:vAlign w:val="bottom"/>
            <w:hideMark/>
          </w:tcPr>
          <w:p w14:paraId="4D662215" w14:textId="77777777" w:rsidR="00013B11" w:rsidRPr="00102057" w:rsidRDefault="00013B11" w:rsidP="00102057">
            <w:pPr>
              <w:jc w:val="right"/>
              <w:rPr>
                <w:rFonts w:eastAsia="Times New Roman" w:cs="Calibri"/>
                <w:color w:val="000000"/>
              </w:rPr>
            </w:pPr>
            <w:r>
              <w:rPr>
                <w:rFonts w:eastAsia="Times New Roman" w:cs="Calibri"/>
                <w:color w:val="000000"/>
              </w:rPr>
              <w:t>8061</w:t>
            </w:r>
          </w:p>
        </w:tc>
        <w:tc>
          <w:tcPr>
            <w:tcW w:w="1120" w:type="dxa"/>
            <w:tcBorders>
              <w:top w:val="nil"/>
              <w:left w:val="nil"/>
              <w:bottom w:val="single" w:sz="4" w:space="0" w:color="auto"/>
              <w:right w:val="single" w:sz="4" w:space="0" w:color="auto"/>
            </w:tcBorders>
            <w:noWrap/>
            <w:vAlign w:val="bottom"/>
            <w:hideMark/>
          </w:tcPr>
          <w:p w14:paraId="62366F6C" w14:textId="77777777" w:rsidR="00013B11" w:rsidRPr="00102057" w:rsidRDefault="00013B11" w:rsidP="00102057">
            <w:pPr>
              <w:jc w:val="right"/>
              <w:rPr>
                <w:rFonts w:eastAsia="Times New Roman" w:cs="Calibri"/>
                <w:color w:val="000000"/>
              </w:rPr>
            </w:pPr>
            <w:r>
              <w:rPr>
                <w:rFonts w:eastAsia="Times New Roman" w:cs="Calibri"/>
                <w:color w:val="000000"/>
              </w:rPr>
              <w:t>433</w:t>
            </w:r>
          </w:p>
        </w:tc>
        <w:tc>
          <w:tcPr>
            <w:tcW w:w="960" w:type="dxa"/>
            <w:tcBorders>
              <w:top w:val="nil"/>
              <w:left w:val="nil"/>
              <w:bottom w:val="single" w:sz="4" w:space="0" w:color="auto"/>
              <w:right w:val="single" w:sz="4" w:space="0" w:color="auto"/>
            </w:tcBorders>
            <w:noWrap/>
            <w:vAlign w:val="bottom"/>
            <w:hideMark/>
          </w:tcPr>
          <w:p w14:paraId="5D5D5C5F" w14:textId="77777777" w:rsidR="00013B11" w:rsidRPr="00102057" w:rsidRDefault="00013B11" w:rsidP="00102057">
            <w:pPr>
              <w:jc w:val="right"/>
              <w:rPr>
                <w:rFonts w:eastAsia="Times New Roman" w:cs="Calibri"/>
                <w:color w:val="000000"/>
              </w:rPr>
            </w:pPr>
            <w:r>
              <w:rPr>
                <w:rFonts w:eastAsia="Times New Roman" w:cs="Calibri"/>
                <w:color w:val="000000"/>
              </w:rPr>
              <w:t>297</w:t>
            </w:r>
          </w:p>
        </w:tc>
        <w:tc>
          <w:tcPr>
            <w:tcW w:w="1520" w:type="dxa"/>
            <w:tcBorders>
              <w:top w:val="nil"/>
              <w:left w:val="nil"/>
              <w:bottom w:val="single" w:sz="4" w:space="0" w:color="auto"/>
              <w:right w:val="single" w:sz="4" w:space="0" w:color="auto"/>
            </w:tcBorders>
            <w:noWrap/>
            <w:vAlign w:val="bottom"/>
            <w:hideMark/>
          </w:tcPr>
          <w:p w14:paraId="61AD960E" w14:textId="77777777" w:rsidR="00013B11" w:rsidRPr="00102057" w:rsidRDefault="00013B11" w:rsidP="00102057">
            <w:pPr>
              <w:jc w:val="right"/>
              <w:rPr>
                <w:rFonts w:eastAsia="Times New Roman" w:cs="Calibri"/>
                <w:color w:val="000000"/>
              </w:rPr>
            </w:pPr>
            <w:r>
              <w:rPr>
                <w:rFonts w:eastAsia="Times New Roman" w:cs="Calibri"/>
                <w:color w:val="000000"/>
              </w:rPr>
              <w:t>99</w:t>
            </w:r>
          </w:p>
        </w:tc>
        <w:tc>
          <w:tcPr>
            <w:tcW w:w="960" w:type="dxa"/>
            <w:tcBorders>
              <w:top w:val="nil"/>
              <w:left w:val="nil"/>
              <w:bottom w:val="single" w:sz="4" w:space="0" w:color="auto"/>
              <w:right w:val="single" w:sz="4" w:space="0" w:color="auto"/>
            </w:tcBorders>
            <w:noWrap/>
            <w:vAlign w:val="bottom"/>
            <w:hideMark/>
          </w:tcPr>
          <w:p w14:paraId="5B62865A" w14:textId="77777777" w:rsidR="00013B11" w:rsidRPr="00102057" w:rsidRDefault="009949C8" w:rsidP="00102057">
            <w:pPr>
              <w:jc w:val="right"/>
              <w:rPr>
                <w:rFonts w:eastAsia="Times New Roman" w:cs="Calibri"/>
                <w:color w:val="000000"/>
              </w:rPr>
            </w:pPr>
            <w:r>
              <w:rPr>
                <w:rFonts w:eastAsia="Times New Roman" w:cs="Calibri"/>
                <w:color w:val="000000"/>
              </w:rPr>
              <w:t>8890</w:t>
            </w:r>
          </w:p>
        </w:tc>
      </w:tr>
    </w:tbl>
    <w:p w14:paraId="57FB7CAF" w14:textId="77777777" w:rsidR="00134A48" w:rsidRDefault="00134A48" w:rsidP="00134A48">
      <w:pPr>
        <w:spacing w:after="200"/>
        <w:jc w:val="both"/>
        <w:rPr>
          <w:rFonts w:ascii="Times New Roman" w:hAnsi="Times New Roman"/>
        </w:rPr>
      </w:pPr>
    </w:p>
    <w:p w14:paraId="65EB324B" w14:textId="77777777" w:rsidR="00102057" w:rsidRDefault="00102057" w:rsidP="00134A48">
      <w:pPr>
        <w:spacing w:after="200"/>
        <w:jc w:val="both"/>
        <w:rPr>
          <w:rFonts w:ascii="Times New Roman" w:hAnsi="Times New Roman"/>
        </w:rPr>
      </w:pPr>
    </w:p>
    <w:p w14:paraId="0AF55698" w14:textId="77777777" w:rsidR="00102057" w:rsidRDefault="00102057" w:rsidP="00134A48">
      <w:pPr>
        <w:spacing w:after="200"/>
        <w:jc w:val="both"/>
        <w:rPr>
          <w:rFonts w:ascii="Times New Roman" w:hAnsi="Times New Roman"/>
        </w:rPr>
      </w:pPr>
    </w:p>
    <w:p w14:paraId="0107B58D" w14:textId="77777777" w:rsidR="00102057" w:rsidRDefault="00102057" w:rsidP="00134A48">
      <w:pPr>
        <w:spacing w:after="200"/>
        <w:jc w:val="both"/>
        <w:rPr>
          <w:rFonts w:ascii="Times New Roman" w:hAnsi="Times New Roman"/>
        </w:rPr>
      </w:pPr>
    </w:p>
    <w:p w14:paraId="1FCC9BC5" w14:textId="77777777" w:rsidR="002872A9" w:rsidRDefault="002872A9" w:rsidP="00134A48">
      <w:pPr>
        <w:spacing w:after="200"/>
        <w:jc w:val="both"/>
        <w:rPr>
          <w:rFonts w:ascii="Times New Roman" w:hAnsi="Times New Roman"/>
        </w:rPr>
      </w:pPr>
    </w:p>
    <w:p w14:paraId="07809B3B" w14:textId="77777777" w:rsidR="00134A48" w:rsidRPr="00863900" w:rsidRDefault="00134A48" w:rsidP="00134A48">
      <w:pPr>
        <w:spacing w:after="200"/>
        <w:jc w:val="both"/>
        <w:rPr>
          <w:rFonts w:ascii="Times New Roman" w:hAnsi="Times New Roman"/>
        </w:rPr>
      </w:pPr>
      <w:r>
        <w:rPr>
          <w:rFonts w:ascii="Times New Roman" w:hAnsi="Times New Roman"/>
        </w:rPr>
        <w:lastRenderedPageBreak/>
        <w:t>The chart below identifies new households enrolled in each program by</w:t>
      </w:r>
      <w:r w:rsidR="002872A9">
        <w:rPr>
          <w:rFonts w:ascii="Times New Roman" w:hAnsi="Times New Roman"/>
        </w:rPr>
        <w:t xml:space="preserve"> month in state fiscal year </w:t>
      </w:r>
      <w:r w:rsidR="00A21BFF">
        <w:rPr>
          <w:rFonts w:ascii="Times New Roman" w:hAnsi="Times New Roman"/>
        </w:rPr>
        <w:t>202</w:t>
      </w:r>
      <w:r w:rsidR="00F61C37">
        <w:rPr>
          <w:rFonts w:ascii="Times New Roman" w:hAnsi="Times New Roman"/>
        </w:rPr>
        <w:t>4</w:t>
      </w:r>
      <w:r w:rsidR="00A21BFF">
        <w:rPr>
          <w:rFonts w:ascii="Times New Roman" w:hAnsi="Times New Roman"/>
        </w:rPr>
        <w:t>.</w:t>
      </w:r>
    </w:p>
    <w:tbl>
      <w:tblPr>
        <w:tblW w:w="6700" w:type="dxa"/>
        <w:tblInd w:w="113" w:type="dxa"/>
        <w:tblLayout w:type="fixed"/>
        <w:tblLook w:val="04A0" w:firstRow="1" w:lastRow="0" w:firstColumn="1" w:lastColumn="0" w:noHBand="0" w:noVBand="1"/>
      </w:tblPr>
      <w:tblGrid>
        <w:gridCol w:w="1180"/>
        <w:gridCol w:w="960"/>
        <w:gridCol w:w="1120"/>
        <w:gridCol w:w="960"/>
        <w:gridCol w:w="1520"/>
        <w:gridCol w:w="960"/>
      </w:tblGrid>
      <w:tr w:rsidR="00013B11" w:rsidRPr="00102057" w14:paraId="2D12F651" w14:textId="77777777" w:rsidTr="00013B11">
        <w:trPr>
          <w:trHeight w:val="290"/>
        </w:trPr>
        <w:tc>
          <w:tcPr>
            <w:tcW w:w="1180" w:type="dxa"/>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6BCFCA0F" w14:textId="77777777" w:rsidR="00013B11" w:rsidRPr="00102057" w:rsidRDefault="00013B11" w:rsidP="00102057">
            <w:pPr>
              <w:rPr>
                <w:rFonts w:eastAsia="Times New Roman" w:cs="Calibri"/>
                <w:color w:val="000000"/>
              </w:rPr>
            </w:pPr>
            <w:r w:rsidRPr="00102057">
              <w:rPr>
                <w:rFonts w:eastAsia="Times New Roman" w:cs="Calibri"/>
                <w:color w:val="000000"/>
              </w:rPr>
              <w:t>Date/Year</w:t>
            </w:r>
          </w:p>
        </w:tc>
        <w:tc>
          <w:tcPr>
            <w:tcW w:w="960" w:type="dxa"/>
            <w:tcBorders>
              <w:top w:val="single" w:sz="4" w:space="0" w:color="auto"/>
              <w:left w:val="nil"/>
              <w:bottom w:val="single" w:sz="4" w:space="0" w:color="auto"/>
              <w:right w:val="single" w:sz="4" w:space="0" w:color="auto"/>
            </w:tcBorders>
            <w:shd w:val="clear" w:color="000000" w:fill="ACB9CA"/>
            <w:noWrap/>
            <w:vAlign w:val="bottom"/>
            <w:hideMark/>
          </w:tcPr>
          <w:p w14:paraId="1D879CAC" w14:textId="77777777" w:rsidR="00013B11" w:rsidRPr="00102057" w:rsidRDefault="00013B11" w:rsidP="00102057">
            <w:pPr>
              <w:rPr>
                <w:rFonts w:eastAsia="Times New Roman" w:cs="Calibri"/>
                <w:color w:val="000000"/>
              </w:rPr>
            </w:pPr>
            <w:r w:rsidRPr="00102057">
              <w:rPr>
                <w:rFonts w:eastAsia="Times New Roman" w:cs="Calibri"/>
                <w:color w:val="000000"/>
              </w:rPr>
              <w:t>HCV</w:t>
            </w:r>
          </w:p>
        </w:tc>
        <w:tc>
          <w:tcPr>
            <w:tcW w:w="1120" w:type="dxa"/>
            <w:tcBorders>
              <w:top w:val="single" w:sz="4" w:space="0" w:color="auto"/>
              <w:left w:val="nil"/>
              <w:bottom w:val="single" w:sz="4" w:space="0" w:color="auto"/>
              <w:right w:val="single" w:sz="4" w:space="0" w:color="auto"/>
            </w:tcBorders>
            <w:shd w:val="clear" w:color="000000" w:fill="ACB9CA"/>
            <w:noWrap/>
            <w:vAlign w:val="bottom"/>
            <w:hideMark/>
          </w:tcPr>
          <w:p w14:paraId="76922E0D" w14:textId="77777777" w:rsidR="00013B11" w:rsidRPr="00102057" w:rsidRDefault="00013B11" w:rsidP="00102057">
            <w:pPr>
              <w:rPr>
                <w:rFonts w:eastAsia="Times New Roman" w:cs="Calibri"/>
                <w:color w:val="000000"/>
              </w:rPr>
            </w:pPr>
            <w:r w:rsidRPr="00102057">
              <w:rPr>
                <w:rFonts w:eastAsia="Times New Roman" w:cs="Calibri"/>
                <w:color w:val="000000"/>
              </w:rPr>
              <w:t>FUP</w:t>
            </w:r>
          </w:p>
        </w:tc>
        <w:tc>
          <w:tcPr>
            <w:tcW w:w="960" w:type="dxa"/>
            <w:tcBorders>
              <w:top w:val="single" w:sz="4" w:space="0" w:color="auto"/>
              <w:left w:val="nil"/>
              <w:bottom w:val="single" w:sz="4" w:space="0" w:color="auto"/>
              <w:right w:val="single" w:sz="4" w:space="0" w:color="auto"/>
            </w:tcBorders>
            <w:shd w:val="clear" w:color="000000" w:fill="ACB9CA"/>
            <w:noWrap/>
            <w:vAlign w:val="bottom"/>
            <w:hideMark/>
          </w:tcPr>
          <w:p w14:paraId="60FD9212" w14:textId="77777777" w:rsidR="00013B11" w:rsidRPr="00102057" w:rsidRDefault="00013B11" w:rsidP="00102057">
            <w:pPr>
              <w:rPr>
                <w:rFonts w:eastAsia="Times New Roman" w:cs="Calibri"/>
                <w:color w:val="000000"/>
              </w:rPr>
            </w:pPr>
            <w:r w:rsidRPr="00102057">
              <w:rPr>
                <w:rFonts w:eastAsia="Times New Roman" w:cs="Calibri"/>
                <w:color w:val="000000"/>
              </w:rPr>
              <w:t>VASH</w:t>
            </w:r>
          </w:p>
        </w:tc>
        <w:tc>
          <w:tcPr>
            <w:tcW w:w="1520" w:type="dxa"/>
            <w:tcBorders>
              <w:top w:val="single" w:sz="4" w:space="0" w:color="auto"/>
              <w:left w:val="nil"/>
              <w:bottom w:val="single" w:sz="4" w:space="0" w:color="auto"/>
              <w:right w:val="single" w:sz="4" w:space="0" w:color="auto"/>
            </w:tcBorders>
            <w:shd w:val="clear" w:color="000000" w:fill="ACB9CA"/>
            <w:noWrap/>
            <w:vAlign w:val="bottom"/>
            <w:hideMark/>
          </w:tcPr>
          <w:p w14:paraId="7AD9A55C" w14:textId="77777777" w:rsidR="00013B11" w:rsidRPr="00102057" w:rsidRDefault="00013B11" w:rsidP="00102057">
            <w:pPr>
              <w:rPr>
                <w:rFonts w:eastAsia="Times New Roman" w:cs="Calibri"/>
                <w:color w:val="000000"/>
              </w:rPr>
            </w:pPr>
            <w:r w:rsidRPr="00102057">
              <w:rPr>
                <w:rFonts w:eastAsia="Times New Roman" w:cs="Calibri"/>
                <w:color w:val="000000"/>
              </w:rPr>
              <w:t>Project Based</w:t>
            </w:r>
          </w:p>
        </w:tc>
        <w:tc>
          <w:tcPr>
            <w:tcW w:w="960" w:type="dxa"/>
            <w:tcBorders>
              <w:top w:val="single" w:sz="4" w:space="0" w:color="auto"/>
              <w:left w:val="nil"/>
              <w:bottom w:val="single" w:sz="4" w:space="0" w:color="auto"/>
              <w:right w:val="single" w:sz="4" w:space="0" w:color="auto"/>
            </w:tcBorders>
            <w:shd w:val="clear" w:color="000000" w:fill="ACB9CA"/>
            <w:noWrap/>
            <w:vAlign w:val="bottom"/>
            <w:hideMark/>
          </w:tcPr>
          <w:p w14:paraId="0AA9BF0C" w14:textId="77777777" w:rsidR="00013B11" w:rsidRPr="00102057" w:rsidRDefault="00013B11" w:rsidP="00102057">
            <w:pPr>
              <w:rPr>
                <w:rFonts w:eastAsia="Times New Roman" w:cs="Calibri"/>
                <w:color w:val="000000"/>
              </w:rPr>
            </w:pPr>
            <w:r w:rsidRPr="00102057">
              <w:rPr>
                <w:rFonts w:eastAsia="Times New Roman" w:cs="Calibri"/>
                <w:color w:val="000000"/>
              </w:rPr>
              <w:t>Total</w:t>
            </w:r>
          </w:p>
        </w:tc>
      </w:tr>
      <w:tr w:rsidR="00013B11" w:rsidRPr="00102057" w14:paraId="4D6872F8"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4B805BCA" w14:textId="77777777" w:rsidR="00013B11" w:rsidRPr="00102057" w:rsidRDefault="00013B11" w:rsidP="00102057">
            <w:pPr>
              <w:jc w:val="right"/>
              <w:rPr>
                <w:rFonts w:eastAsia="Times New Roman" w:cs="Calibri"/>
                <w:color w:val="000000"/>
              </w:rPr>
            </w:pPr>
            <w:r w:rsidRPr="00102057">
              <w:rPr>
                <w:rFonts w:eastAsia="Times New Roman" w:cs="Calibri"/>
                <w:color w:val="000000"/>
              </w:rPr>
              <w:t>7/1/2022</w:t>
            </w:r>
          </w:p>
        </w:tc>
        <w:tc>
          <w:tcPr>
            <w:tcW w:w="960" w:type="dxa"/>
            <w:tcBorders>
              <w:top w:val="nil"/>
              <w:left w:val="nil"/>
              <w:bottom w:val="single" w:sz="4" w:space="0" w:color="auto"/>
              <w:right w:val="single" w:sz="4" w:space="0" w:color="auto"/>
            </w:tcBorders>
            <w:noWrap/>
            <w:vAlign w:val="bottom"/>
            <w:hideMark/>
          </w:tcPr>
          <w:p w14:paraId="164E3079" w14:textId="77777777" w:rsidR="00013B11" w:rsidRPr="00102057" w:rsidRDefault="00013B11" w:rsidP="00102057">
            <w:pPr>
              <w:jc w:val="right"/>
              <w:rPr>
                <w:rFonts w:eastAsia="Times New Roman" w:cs="Calibri"/>
                <w:color w:val="000000"/>
              </w:rPr>
            </w:pPr>
            <w:r>
              <w:rPr>
                <w:rFonts w:eastAsia="Times New Roman" w:cs="Calibri"/>
                <w:color w:val="000000"/>
              </w:rPr>
              <w:t>23</w:t>
            </w:r>
          </w:p>
        </w:tc>
        <w:tc>
          <w:tcPr>
            <w:tcW w:w="1120" w:type="dxa"/>
            <w:tcBorders>
              <w:top w:val="nil"/>
              <w:left w:val="nil"/>
              <w:bottom w:val="single" w:sz="4" w:space="0" w:color="auto"/>
              <w:right w:val="single" w:sz="4" w:space="0" w:color="auto"/>
            </w:tcBorders>
            <w:noWrap/>
            <w:vAlign w:val="bottom"/>
            <w:hideMark/>
          </w:tcPr>
          <w:p w14:paraId="50A64E80" w14:textId="77777777" w:rsidR="00013B11" w:rsidRPr="00102057" w:rsidRDefault="00013B11" w:rsidP="00102057">
            <w:pPr>
              <w:jc w:val="right"/>
              <w:rPr>
                <w:rFonts w:eastAsia="Times New Roman" w:cs="Calibri"/>
                <w:color w:val="000000"/>
              </w:rPr>
            </w:pPr>
            <w:r>
              <w:rPr>
                <w:rFonts w:eastAsia="Times New Roman" w:cs="Calibri"/>
                <w:color w:val="000000"/>
              </w:rPr>
              <w:t>2</w:t>
            </w:r>
          </w:p>
        </w:tc>
        <w:tc>
          <w:tcPr>
            <w:tcW w:w="960" w:type="dxa"/>
            <w:tcBorders>
              <w:top w:val="nil"/>
              <w:left w:val="nil"/>
              <w:bottom w:val="single" w:sz="4" w:space="0" w:color="auto"/>
              <w:right w:val="single" w:sz="4" w:space="0" w:color="auto"/>
            </w:tcBorders>
            <w:noWrap/>
            <w:vAlign w:val="bottom"/>
            <w:hideMark/>
          </w:tcPr>
          <w:p w14:paraId="171E555A" w14:textId="77777777" w:rsidR="00013B11" w:rsidRPr="00102057" w:rsidRDefault="00013B11" w:rsidP="00102057">
            <w:pPr>
              <w:jc w:val="right"/>
              <w:rPr>
                <w:rFonts w:eastAsia="Times New Roman" w:cs="Calibri"/>
                <w:color w:val="000000"/>
              </w:rPr>
            </w:pPr>
            <w:r>
              <w:rPr>
                <w:rFonts w:eastAsia="Times New Roman" w:cs="Calibri"/>
                <w:color w:val="000000"/>
              </w:rPr>
              <w:t>2</w:t>
            </w:r>
          </w:p>
        </w:tc>
        <w:tc>
          <w:tcPr>
            <w:tcW w:w="1520" w:type="dxa"/>
            <w:tcBorders>
              <w:top w:val="nil"/>
              <w:left w:val="nil"/>
              <w:bottom w:val="single" w:sz="4" w:space="0" w:color="auto"/>
              <w:right w:val="single" w:sz="4" w:space="0" w:color="auto"/>
            </w:tcBorders>
            <w:noWrap/>
            <w:vAlign w:val="bottom"/>
            <w:hideMark/>
          </w:tcPr>
          <w:p w14:paraId="01BD10CD"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4D3A374D" w14:textId="77777777" w:rsidR="00013B11" w:rsidRPr="00102057" w:rsidRDefault="00013B11" w:rsidP="00102057">
            <w:pPr>
              <w:jc w:val="right"/>
              <w:rPr>
                <w:rFonts w:eastAsia="Times New Roman" w:cs="Calibri"/>
                <w:color w:val="000000"/>
              </w:rPr>
            </w:pPr>
            <w:r>
              <w:rPr>
                <w:rFonts w:eastAsia="Times New Roman" w:cs="Calibri"/>
                <w:color w:val="000000"/>
              </w:rPr>
              <w:t>27</w:t>
            </w:r>
          </w:p>
        </w:tc>
      </w:tr>
      <w:tr w:rsidR="00013B11" w:rsidRPr="00102057" w14:paraId="0866920B"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3B0F7773" w14:textId="77777777" w:rsidR="00013B11" w:rsidRPr="00102057" w:rsidRDefault="00013B11" w:rsidP="00102057">
            <w:pPr>
              <w:jc w:val="right"/>
              <w:rPr>
                <w:rFonts w:eastAsia="Times New Roman" w:cs="Calibri"/>
                <w:color w:val="000000"/>
              </w:rPr>
            </w:pPr>
            <w:r w:rsidRPr="00102057">
              <w:rPr>
                <w:rFonts w:eastAsia="Times New Roman" w:cs="Calibri"/>
                <w:color w:val="000000"/>
              </w:rPr>
              <w:t>8/1/2022</w:t>
            </w:r>
          </w:p>
        </w:tc>
        <w:tc>
          <w:tcPr>
            <w:tcW w:w="960" w:type="dxa"/>
            <w:tcBorders>
              <w:top w:val="nil"/>
              <w:left w:val="nil"/>
              <w:bottom w:val="single" w:sz="4" w:space="0" w:color="auto"/>
              <w:right w:val="single" w:sz="4" w:space="0" w:color="auto"/>
            </w:tcBorders>
            <w:noWrap/>
            <w:vAlign w:val="bottom"/>
            <w:hideMark/>
          </w:tcPr>
          <w:p w14:paraId="5B664B12" w14:textId="77777777" w:rsidR="00013B11" w:rsidRPr="00102057" w:rsidRDefault="00013B11" w:rsidP="00102057">
            <w:pPr>
              <w:jc w:val="right"/>
              <w:rPr>
                <w:rFonts w:eastAsia="Times New Roman" w:cs="Calibri"/>
                <w:color w:val="000000"/>
              </w:rPr>
            </w:pPr>
            <w:r>
              <w:rPr>
                <w:rFonts w:eastAsia="Times New Roman" w:cs="Calibri"/>
                <w:color w:val="000000"/>
              </w:rPr>
              <w:t>19</w:t>
            </w:r>
          </w:p>
        </w:tc>
        <w:tc>
          <w:tcPr>
            <w:tcW w:w="1120" w:type="dxa"/>
            <w:tcBorders>
              <w:top w:val="nil"/>
              <w:left w:val="nil"/>
              <w:bottom w:val="single" w:sz="4" w:space="0" w:color="auto"/>
              <w:right w:val="single" w:sz="4" w:space="0" w:color="auto"/>
            </w:tcBorders>
            <w:noWrap/>
            <w:vAlign w:val="bottom"/>
            <w:hideMark/>
          </w:tcPr>
          <w:p w14:paraId="7E5AD8A3"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960" w:type="dxa"/>
            <w:tcBorders>
              <w:top w:val="nil"/>
              <w:left w:val="nil"/>
              <w:bottom w:val="single" w:sz="4" w:space="0" w:color="auto"/>
              <w:right w:val="single" w:sz="4" w:space="0" w:color="auto"/>
            </w:tcBorders>
            <w:noWrap/>
            <w:vAlign w:val="bottom"/>
            <w:hideMark/>
          </w:tcPr>
          <w:p w14:paraId="7E35E304"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1520" w:type="dxa"/>
            <w:tcBorders>
              <w:top w:val="nil"/>
              <w:left w:val="nil"/>
              <w:bottom w:val="single" w:sz="4" w:space="0" w:color="auto"/>
              <w:right w:val="single" w:sz="4" w:space="0" w:color="auto"/>
            </w:tcBorders>
            <w:noWrap/>
            <w:vAlign w:val="bottom"/>
            <w:hideMark/>
          </w:tcPr>
          <w:p w14:paraId="74530FC1"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31905055" w14:textId="77777777" w:rsidR="00013B11" w:rsidRPr="00102057" w:rsidRDefault="00013B11" w:rsidP="00102057">
            <w:pPr>
              <w:jc w:val="right"/>
              <w:rPr>
                <w:rFonts w:eastAsia="Times New Roman" w:cs="Calibri"/>
                <w:color w:val="000000"/>
              </w:rPr>
            </w:pPr>
            <w:r>
              <w:rPr>
                <w:rFonts w:eastAsia="Times New Roman" w:cs="Calibri"/>
                <w:color w:val="000000"/>
              </w:rPr>
              <w:t>21</w:t>
            </w:r>
          </w:p>
        </w:tc>
      </w:tr>
      <w:tr w:rsidR="00013B11" w:rsidRPr="00102057" w14:paraId="1EE833BA"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61FD5635" w14:textId="77777777" w:rsidR="00013B11" w:rsidRPr="00102057" w:rsidRDefault="00013B11" w:rsidP="00102057">
            <w:pPr>
              <w:jc w:val="right"/>
              <w:rPr>
                <w:rFonts w:eastAsia="Times New Roman" w:cs="Calibri"/>
                <w:color w:val="000000"/>
              </w:rPr>
            </w:pPr>
            <w:r w:rsidRPr="00102057">
              <w:rPr>
                <w:rFonts w:eastAsia="Times New Roman" w:cs="Calibri"/>
                <w:color w:val="000000"/>
              </w:rPr>
              <w:t>9/1/2022</w:t>
            </w:r>
          </w:p>
        </w:tc>
        <w:tc>
          <w:tcPr>
            <w:tcW w:w="960" w:type="dxa"/>
            <w:tcBorders>
              <w:top w:val="nil"/>
              <w:left w:val="nil"/>
              <w:bottom w:val="single" w:sz="4" w:space="0" w:color="auto"/>
              <w:right w:val="single" w:sz="4" w:space="0" w:color="auto"/>
            </w:tcBorders>
            <w:noWrap/>
            <w:vAlign w:val="bottom"/>
            <w:hideMark/>
          </w:tcPr>
          <w:p w14:paraId="4EE12185" w14:textId="77777777" w:rsidR="00013B11" w:rsidRPr="00102057" w:rsidRDefault="00013B11" w:rsidP="00102057">
            <w:pPr>
              <w:jc w:val="right"/>
              <w:rPr>
                <w:rFonts w:eastAsia="Times New Roman" w:cs="Calibri"/>
                <w:color w:val="000000"/>
              </w:rPr>
            </w:pPr>
            <w:r>
              <w:rPr>
                <w:rFonts w:eastAsia="Times New Roman" w:cs="Calibri"/>
                <w:color w:val="000000"/>
              </w:rPr>
              <w:t>20</w:t>
            </w:r>
          </w:p>
        </w:tc>
        <w:tc>
          <w:tcPr>
            <w:tcW w:w="1120" w:type="dxa"/>
            <w:tcBorders>
              <w:top w:val="nil"/>
              <w:left w:val="nil"/>
              <w:bottom w:val="single" w:sz="4" w:space="0" w:color="auto"/>
              <w:right w:val="single" w:sz="4" w:space="0" w:color="auto"/>
            </w:tcBorders>
            <w:noWrap/>
            <w:vAlign w:val="bottom"/>
            <w:hideMark/>
          </w:tcPr>
          <w:p w14:paraId="2DCFC53B"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16CE4114" w14:textId="77777777" w:rsidR="00013B11" w:rsidRPr="00102057" w:rsidRDefault="00013B11" w:rsidP="00102057">
            <w:pPr>
              <w:jc w:val="right"/>
              <w:rPr>
                <w:rFonts w:eastAsia="Times New Roman" w:cs="Calibri"/>
                <w:color w:val="000000"/>
              </w:rPr>
            </w:pPr>
            <w:r>
              <w:rPr>
                <w:rFonts w:eastAsia="Times New Roman" w:cs="Calibri"/>
                <w:color w:val="000000"/>
              </w:rPr>
              <w:t>3</w:t>
            </w:r>
          </w:p>
        </w:tc>
        <w:tc>
          <w:tcPr>
            <w:tcW w:w="1520" w:type="dxa"/>
            <w:tcBorders>
              <w:top w:val="nil"/>
              <w:left w:val="nil"/>
              <w:bottom w:val="single" w:sz="4" w:space="0" w:color="auto"/>
              <w:right w:val="single" w:sz="4" w:space="0" w:color="auto"/>
            </w:tcBorders>
            <w:noWrap/>
            <w:vAlign w:val="bottom"/>
            <w:hideMark/>
          </w:tcPr>
          <w:p w14:paraId="01A34B2D"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960" w:type="dxa"/>
            <w:tcBorders>
              <w:top w:val="nil"/>
              <w:left w:val="nil"/>
              <w:bottom w:val="single" w:sz="4" w:space="0" w:color="auto"/>
              <w:right w:val="single" w:sz="4" w:space="0" w:color="auto"/>
            </w:tcBorders>
            <w:noWrap/>
            <w:vAlign w:val="bottom"/>
            <w:hideMark/>
          </w:tcPr>
          <w:p w14:paraId="7087A595" w14:textId="77777777" w:rsidR="00013B11" w:rsidRPr="00102057" w:rsidRDefault="00013B11" w:rsidP="00102057">
            <w:pPr>
              <w:jc w:val="right"/>
              <w:rPr>
                <w:rFonts w:eastAsia="Times New Roman" w:cs="Calibri"/>
                <w:color w:val="000000"/>
              </w:rPr>
            </w:pPr>
            <w:r>
              <w:rPr>
                <w:rFonts w:eastAsia="Times New Roman" w:cs="Calibri"/>
                <w:color w:val="000000"/>
              </w:rPr>
              <w:t>24</w:t>
            </w:r>
          </w:p>
        </w:tc>
      </w:tr>
      <w:tr w:rsidR="00013B11" w:rsidRPr="00102057" w14:paraId="7AFB0A3C"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4D15297B" w14:textId="77777777" w:rsidR="00013B11" w:rsidRPr="00102057" w:rsidRDefault="00013B11" w:rsidP="00102057">
            <w:pPr>
              <w:jc w:val="right"/>
              <w:rPr>
                <w:rFonts w:eastAsia="Times New Roman" w:cs="Calibri"/>
                <w:color w:val="000000"/>
              </w:rPr>
            </w:pPr>
            <w:r w:rsidRPr="00102057">
              <w:rPr>
                <w:rFonts w:eastAsia="Times New Roman" w:cs="Calibri"/>
                <w:color w:val="000000"/>
              </w:rPr>
              <w:t>10/1/2022</w:t>
            </w:r>
          </w:p>
        </w:tc>
        <w:tc>
          <w:tcPr>
            <w:tcW w:w="960" w:type="dxa"/>
            <w:tcBorders>
              <w:top w:val="nil"/>
              <w:left w:val="nil"/>
              <w:bottom w:val="single" w:sz="4" w:space="0" w:color="auto"/>
              <w:right w:val="single" w:sz="4" w:space="0" w:color="auto"/>
            </w:tcBorders>
            <w:noWrap/>
            <w:vAlign w:val="bottom"/>
            <w:hideMark/>
          </w:tcPr>
          <w:p w14:paraId="3FE53564" w14:textId="77777777" w:rsidR="00013B11" w:rsidRPr="00102057" w:rsidRDefault="00013B11" w:rsidP="00102057">
            <w:pPr>
              <w:jc w:val="right"/>
              <w:rPr>
                <w:rFonts w:eastAsia="Times New Roman" w:cs="Calibri"/>
                <w:color w:val="000000"/>
              </w:rPr>
            </w:pPr>
            <w:r>
              <w:rPr>
                <w:rFonts w:eastAsia="Times New Roman" w:cs="Calibri"/>
                <w:color w:val="000000"/>
              </w:rPr>
              <w:t>23</w:t>
            </w:r>
          </w:p>
        </w:tc>
        <w:tc>
          <w:tcPr>
            <w:tcW w:w="1120" w:type="dxa"/>
            <w:tcBorders>
              <w:top w:val="nil"/>
              <w:left w:val="nil"/>
              <w:bottom w:val="single" w:sz="4" w:space="0" w:color="auto"/>
              <w:right w:val="single" w:sz="4" w:space="0" w:color="auto"/>
            </w:tcBorders>
            <w:noWrap/>
            <w:vAlign w:val="bottom"/>
            <w:hideMark/>
          </w:tcPr>
          <w:p w14:paraId="573E11C5"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033CA79C"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1520" w:type="dxa"/>
            <w:tcBorders>
              <w:top w:val="nil"/>
              <w:left w:val="nil"/>
              <w:bottom w:val="single" w:sz="4" w:space="0" w:color="auto"/>
              <w:right w:val="single" w:sz="4" w:space="0" w:color="auto"/>
            </w:tcBorders>
            <w:noWrap/>
            <w:vAlign w:val="bottom"/>
            <w:hideMark/>
          </w:tcPr>
          <w:p w14:paraId="48F6B482"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3B77B8D8" w14:textId="77777777" w:rsidR="00013B11" w:rsidRPr="00102057" w:rsidRDefault="00013B11" w:rsidP="00102057">
            <w:pPr>
              <w:jc w:val="right"/>
              <w:rPr>
                <w:rFonts w:eastAsia="Times New Roman" w:cs="Calibri"/>
                <w:color w:val="000000"/>
              </w:rPr>
            </w:pPr>
            <w:r>
              <w:rPr>
                <w:rFonts w:eastAsia="Times New Roman" w:cs="Calibri"/>
                <w:color w:val="000000"/>
              </w:rPr>
              <w:t>24</w:t>
            </w:r>
          </w:p>
        </w:tc>
      </w:tr>
      <w:tr w:rsidR="00013B11" w:rsidRPr="00102057" w14:paraId="2FCABAC9"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0BC4A2DA" w14:textId="77777777" w:rsidR="00013B11" w:rsidRPr="00102057" w:rsidRDefault="00013B11" w:rsidP="00102057">
            <w:pPr>
              <w:jc w:val="right"/>
              <w:rPr>
                <w:rFonts w:eastAsia="Times New Roman" w:cs="Calibri"/>
                <w:color w:val="000000"/>
              </w:rPr>
            </w:pPr>
            <w:r w:rsidRPr="00102057">
              <w:rPr>
                <w:rFonts w:eastAsia="Times New Roman" w:cs="Calibri"/>
                <w:color w:val="000000"/>
              </w:rPr>
              <w:t>11/1/2022</w:t>
            </w:r>
          </w:p>
        </w:tc>
        <w:tc>
          <w:tcPr>
            <w:tcW w:w="960" w:type="dxa"/>
            <w:tcBorders>
              <w:top w:val="nil"/>
              <w:left w:val="nil"/>
              <w:bottom w:val="single" w:sz="4" w:space="0" w:color="auto"/>
              <w:right w:val="single" w:sz="4" w:space="0" w:color="auto"/>
            </w:tcBorders>
            <w:noWrap/>
            <w:vAlign w:val="bottom"/>
            <w:hideMark/>
          </w:tcPr>
          <w:p w14:paraId="11A82CD6" w14:textId="77777777" w:rsidR="00013B11" w:rsidRPr="00102057" w:rsidRDefault="00013B11" w:rsidP="00102057">
            <w:pPr>
              <w:jc w:val="right"/>
              <w:rPr>
                <w:rFonts w:eastAsia="Times New Roman" w:cs="Calibri"/>
                <w:color w:val="000000"/>
              </w:rPr>
            </w:pPr>
            <w:r>
              <w:rPr>
                <w:rFonts w:eastAsia="Times New Roman" w:cs="Calibri"/>
                <w:color w:val="000000"/>
              </w:rPr>
              <w:t>27</w:t>
            </w:r>
          </w:p>
        </w:tc>
        <w:tc>
          <w:tcPr>
            <w:tcW w:w="1120" w:type="dxa"/>
            <w:tcBorders>
              <w:top w:val="nil"/>
              <w:left w:val="nil"/>
              <w:bottom w:val="single" w:sz="4" w:space="0" w:color="auto"/>
              <w:right w:val="single" w:sz="4" w:space="0" w:color="auto"/>
            </w:tcBorders>
            <w:noWrap/>
            <w:vAlign w:val="bottom"/>
            <w:hideMark/>
          </w:tcPr>
          <w:p w14:paraId="7BCCC496"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799EAD31"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1520" w:type="dxa"/>
            <w:tcBorders>
              <w:top w:val="nil"/>
              <w:left w:val="nil"/>
              <w:bottom w:val="single" w:sz="4" w:space="0" w:color="auto"/>
              <w:right w:val="single" w:sz="4" w:space="0" w:color="auto"/>
            </w:tcBorders>
            <w:noWrap/>
            <w:vAlign w:val="bottom"/>
            <w:hideMark/>
          </w:tcPr>
          <w:p w14:paraId="576736FF"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2DB5BAC4" w14:textId="77777777" w:rsidR="00013B11" w:rsidRPr="00102057" w:rsidRDefault="00013B11" w:rsidP="00102057">
            <w:pPr>
              <w:jc w:val="right"/>
              <w:rPr>
                <w:rFonts w:eastAsia="Times New Roman" w:cs="Calibri"/>
                <w:color w:val="000000"/>
              </w:rPr>
            </w:pPr>
            <w:r>
              <w:rPr>
                <w:rFonts w:eastAsia="Times New Roman" w:cs="Calibri"/>
                <w:color w:val="000000"/>
              </w:rPr>
              <w:t>28</w:t>
            </w:r>
          </w:p>
        </w:tc>
      </w:tr>
      <w:tr w:rsidR="00013B11" w:rsidRPr="00102057" w14:paraId="0271A600"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0F6C72BC" w14:textId="77777777" w:rsidR="00013B11" w:rsidRPr="00102057" w:rsidRDefault="00013B11" w:rsidP="00102057">
            <w:pPr>
              <w:jc w:val="right"/>
              <w:rPr>
                <w:rFonts w:eastAsia="Times New Roman" w:cs="Calibri"/>
                <w:color w:val="000000"/>
              </w:rPr>
            </w:pPr>
            <w:r w:rsidRPr="00102057">
              <w:rPr>
                <w:rFonts w:eastAsia="Times New Roman" w:cs="Calibri"/>
                <w:color w:val="000000"/>
              </w:rPr>
              <w:t>12/1/2022</w:t>
            </w:r>
          </w:p>
        </w:tc>
        <w:tc>
          <w:tcPr>
            <w:tcW w:w="960" w:type="dxa"/>
            <w:tcBorders>
              <w:top w:val="nil"/>
              <w:left w:val="nil"/>
              <w:bottom w:val="single" w:sz="4" w:space="0" w:color="auto"/>
              <w:right w:val="single" w:sz="4" w:space="0" w:color="auto"/>
            </w:tcBorders>
            <w:noWrap/>
            <w:vAlign w:val="bottom"/>
            <w:hideMark/>
          </w:tcPr>
          <w:p w14:paraId="4E7A553C" w14:textId="77777777" w:rsidR="00013B11" w:rsidRPr="00102057" w:rsidRDefault="00013B11" w:rsidP="00102057">
            <w:pPr>
              <w:jc w:val="right"/>
              <w:rPr>
                <w:rFonts w:eastAsia="Times New Roman" w:cs="Calibri"/>
                <w:color w:val="000000"/>
              </w:rPr>
            </w:pPr>
            <w:r>
              <w:rPr>
                <w:rFonts w:eastAsia="Times New Roman" w:cs="Calibri"/>
                <w:color w:val="000000"/>
              </w:rPr>
              <w:t>42</w:t>
            </w:r>
          </w:p>
        </w:tc>
        <w:tc>
          <w:tcPr>
            <w:tcW w:w="1120" w:type="dxa"/>
            <w:tcBorders>
              <w:top w:val="nil"/>
              <w:left w:val="nil"/>
              <w:bottom w:val="single" w:sz="4" w:space="0" w:color="auto"/>
              <w:right w:val="single" w:sz="4" w:space="0" w:color="auto"/>
            </w:tcBorders>
            <w:noWrap/>
            <w:vAlign w:val="bottom"/>
            <w:hideMark/>
          </w:tcPr>
          <w:p w14:paraId="4624CED1" w14:textId="77777777" w:rsidR="00013B11" w:rsidRPr="00102057" w:rsidRDefault="00013B11" w:rsidP="00102057">
            <w:pPr>
              <w:jc w:val="right"/>
              <w:rPr>
                <w:rFonts w:eastAsia="Times New Roman" w:cs="Calibri"/>
                <w:color w:val="000000"/>
              </w:rPr>
            </w:pPr>
            <w:r>
              <w:rPr>
                <w:rFonts w:eastAsia="Times New Roman" w:cs="Calibri"/>
                <w:color w:val="000000"/>
              </w:rPr>
              <w:t>5</w:t>
            </w:r>
          </w:p>
        </w:tc>
        <w:tc>
          <w:tcPr>
            <w:tcW w:w="960" w:type="dxa"/>
            <w:tcBorders>
              <w:top w:val="nil"/>
              <w:left w:val="nil"/>
              <w:bottom w:val="single" w:sz="4" w:space="0" w:color="auto"/>
              <w:right w:val="single" w:sz="4" w:space="0" w:color="auto"/>
            </w:tcBorders>
            <w:noWrap/>
            <w:vAlign w:val="bottom"/>
            <w:hideMark/>
          </w:tcPr>
          <w:p w14:paraId="0D1EF09C"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1520" w:type="dxa"/>
            <w:tcBorders>
              <w:top w:val="nil"/>
              <w:left w:val="nil"/>
              <w:bottom w:val="single" w:sz="4" w:space="0" w:color="auto"/>
              <w:right w:val="single" w:sz="4" w:space="0" w:color="auto"/>
            </w:tcBorders>
            <w:noWrap/>
            <w:vAlign w:val="bottom"/>
            <w:hideMark/>
          </w:tcPr>
          <w:p w14:paraId="77014B7D"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07B9EACE" w14:textId="77777777" w:rsidR="00013B11" w:rsidRPr="00102057" w:rsidRDefault="00013B11" w:rsidP="00102057">
            <w:pPr>
              <w:jc w:val="right"/>
              <w:rPr>
                <w:rFonts w:eastAsia="Times New Roman" w:cs="Calibri"/>
                <w:color w:val="000000"/>
              </w:rPr>
            </w:pPr>
            <w:r>
              <w:rPr>
                <w:rFonts w:eastAsia="Times New Roman" w:cs="Calibri"/>
                <w:color w:val="000000"/>
              </w:rPr>
              <w:t>48</w:t>
            </w:r>
          </w:p>
        </w:tc>
      </w:tr>
      <w:tr w:rsidR="00013B11" w:rsidRPr="00102057" w14:paraId="3AA8084E"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5CF9F436" w14:textId="77777777" w:rsidR="00013B11" w:rsidRPr="00102057" w:rsidRDefault="00013B11" w:rsidP="00102057">
            <w:pPr>
              <w:jc w:val="right"/>
              <w:rPr>
                <w:rFonts w:eastAsia="Times New Roman" w:cs="Calibri"/>
                <w:color w:val="000000"/>
              </w:rPr>
            </w:pPr>
            <w:r w:rsidRPr="00102057">
              <w:rPr>
                <w:rFonts w:eastAsia="Times New Roman" w:cs="Calibri"/>
                <w:color w:val="000000"/>
              </w:rPr>
              <w:t>1/1/2023</w:t>
            </w:r>
          </w:p>
        </w:tc>
        <w:tc>
          <w:tcPr>
            <w:tcW w:w="960" w:type="dxa"/>
            <w:tcBorders>
              <w:top w:val="nil"/>
              <w:left w:val="nil"/>
              <w:bottom w:val="single" w:sz="4" w:space="0" w:color="auto"/>
              <w:right w:val="single" w:sz="4" w:space="0" w:color="auto"/>
            </w:tcBorders>
            <w:noWrap/>
            <w:vAlign w:val="bottom"/>
            <w:hideMark/>
          </w:tcPr>
          <w:p w14:paraId="7C1AADE2" w14:textId="77777777" w:rsidR="00013B11" w:rsidRPr="00102057" w:rsidRDefault="00013B11" w:rsidP="00102057">
            <w:pPr>
              <w:jc w:val="right"/>
              <w:rPr>
                <w:rFonts w:eastAsia="Times New Roman" w:cs="Calibri"/>
                <w:color w:val="000000"/>
              </w:rPr>
            </w:pPr>
            <w:r>
              <w:rPr>
                <w:rFonts w:eastAsia="Times New Roman" w:cs="Calibri"/>
                <w:color w:val="000000"/>
              </w:rPr>
              <w:t>39</w:t>
            </w:r>
          </w:p>
        </w:tc>
        <w:tc>
          <w:tcPr>
            <w:tcW w:w="1120" w:type="dxa"/>
            <w:tcBorders>
              <w:top w:val="nil"/>
              <w:left w:val="nil"/>
              <w:bottom w:val="single" w:sz="4" w:space="0" w:color="auto"/>
              <w:right w:val="single" w:sz="4" w:space="0" w:color="auto"/>
            </w:tcBorders>
            <w:noWrap/>
            <w:vAlign w:val="bottom"/>
            <w:hideMark/>
          </w:tcPr>
          <w:p w14:paraId="268DA805" w14:textId="77777777" w:rsidR="00013B11" w:rsidRPr="00102057" w:rsidRDefault="00013B11" w:rsidP="00102057">
            <w:pPr>
              <w:jc w:val="right"/>
              <w:rPr>
                <w:rFonts w:eastAsia="Times New Roman" w:cs="Calibri"/>
                <w:color w:val="000000"/>
              </w:rPr>
            </w:pPr>
            <w:r>
              <w:rPr>
                <w:rFonts w:eastAsia="Times New Roman" w:cs="Calibri"/>
                <w:color w:val="000000"/>
              </w:rPr>
              <w:t>5</w:t>
            </w:r>
          </w:p>
        </w:tc>
        <w:tc>
          <w:tcPr>
            <w:tcW w:w="960" w:type="dxa"/>
            <w:tcBorders>
              <w:top w:val="nil"/>
              <w:left w:val="nil"/>
              <w:bottom w:val="single" w:sz="4" w:space="0" w:color="auto"/>
              <w:right w:val="single" w:sz="4" w:space="0" w:color="auto"/>
            </w:tcBorders>
            <w:noWrap/>
            <w:vAlign w:val="bottom"/>
            <w:hideMark/>
          </w:tcPr>
          <w:p w14:paraId="23739778"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1520" w:type="dxa"/>
            <w:tcBorders>
              <w:top w:val="nil"/>
              <w:left w:val="nil"/>
              <w:bottom w:val="single" w:sz="4" w:space="0" w:color="auto"/>
              <w:right w:val="single" w:sz="4" w:space="0" w:color="auto"/>
            </w:tcBorders>
            <w:noWrap/>
            <w:vAlign w:val="bottom"/>
            <w:hideMark/>
          </w:tcPr>
          <w:p w14:paraId="24868D4B"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58E740A6" w14:textId="77777777" w:rsidR="00013B11" w:rsidRPr="00102057" w:rsidRDefault="00013B11" w:rsidP="00102057">
            <w:pPr>
              <w:jc w:val="right"/>
              <w:rPr>
                <w:rFonts w:eastAsia="Times New Roman" w:cs="Calibri"/>
                <w:color w:val="000000"/>
              </w:rPr>
            </w:pPr>
            <w:r>
              <w:rPr>
                <w:rFonts w:eastAsia="Times New Roman" w:cs="Calibri"/>
                <w:color w:val="000000"/>
              </w:rPr>
              <w:t>45</w:t>
            </w:r>
          </w:p>
        </w:tc>
      </w:tr>
      <w:tr w:rsidR="00013B11" w:rsidRPr="00102057" w14:paraId="69FBC7E8"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5B5376AB" w14:textId="77777777" w:rsidR="00013B11" w:rsidRPr="00102057" w:rsidRDefault="00013B11" w:rsidP="00102057">
            <w:pPr>
              <w:jc w:val="right"/>
              <w:rPr>
                <w:rFonts w:eastAsia="Times New Roman" w:cs="Calibri"/>
                <w:color w:val="000000"/>
              </w:rPr>
            </w:pPr>
            <w:r w:rsidRPr="00102057">
              <w:rPr>
                <w:rFonts w:eastAsia="Times New Roman" w:cs="Calibri"/>
                <w:color w:val="000000"/>
              </w:rPr>
              <w:t>2/1/2023</w:t>
            </w:r>
          </w:p>
        </w:tc>
        <w:tc>
          <w:tcPr>
            <w:tcW w:w="960" w:type="dxa"/>
            <w:tcBorders>
              <w:top w:val="nil"/>
              <w:left w:val="nil"/>
              <w:bottom w:val="single" w:sz="4" w:space="0" w:color="auto"/>
              <w:right w:val="single" w:sz="4" w:space="0" w:color="auto"/>
            </w:tcBorders>
            <w:noWrap/>
            <w:vAlign w:val="bottom"/>
            <w:hideMark/>
          </w:tcPr>
          <w:p w14:paraId="2BFC7243" w14:textId="77777777" w:rsidR="00013B11" w:rsidRPr="00102057" w:rsidRDefault="00013B11" w:rsidP="00102057">
            <w:pPr>
              <w:jc w:val="right"/>
              <w:rPr>
                <w:rFonts w:eastAsia="Times New Roman" w:cs="Calibri"/>
                <w:color w:val="000000"/>
              </w:rPr>
            </w:pPr>
            <w:r>
              <w:rPr>
                <w:rFonts w:eastAsia="Times New Roman" w:cs="Calibri"/>
                <w:color w:val="000000"/>
              </w:rPr>
              <w:t>48</w:t>
            </w:r>
          </w:p>
        </w:tc>
        <w:tc>
          <w:tcPr>
            <w:tcW w:w="1120" w:type="dxa"/>
            <w:tcBorders>
              <w:top w:val="nil"/>
              <w:left w:val="nil"/>
              <w:bottom w:val="single" w:sz="4" w:space="0" w:color="auto"/>
              <w:right w:val="single" w:sz="4" w:space="0" w:color="auto"/>
            </w:tcBorders>
            <w:noWrap/>
            <w:vAlign w:val="bottom"/>
            <w:hideMark/>
          </w:tcPr>
          <w:p w14:paraId="0EB83CA6"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4CFB6AA5" w14:textId="77777777" w:rsidR="00013B11" w:rsidRPr="00102057" w:rsidRDefault="00013B11" w:rsidP="00102057">
            <w:pPr>
              <w:jc w:val="right"/>
              <w:rPr>
                <w:rFonts w:eastAsia="Times New Roman" w:cs="Calibri"/>
                <w:color w:val="000000"/>
              </w:rPr>
            </w:pPr>
            <w:r>
              <w:rPr>
                <w:rFonts w:eastAsia="Times New Roman" w:cs="Calibri"/>
                <w:color w:val="000000"/>
              </w:rPr>
              <w:t>2</w:t>
            </w:r>
          </w:p>
        </w:tc>
        <w:tc>
          <w:tcPr>
            <w:tcW w:w="1520" w:type="dxa"/>
            <w:tcBorders>
              <w:top w:val="nil"/>
              <w:left w:val="nil"/>
              <w:bottom w:val="single" w:sz="4" w:space="0" w:color="auto"/>
              <w:right w:val="single" w:sz="4" w:space="0" w:color="auto"/>
            </w:tcBorders>
            <w:noWrap/>
            <w:vAlign w:val="bottom"/>
            <w:hideMark/>
          </w:tcPr>
          <w:p w14:paraId="64371A93"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3103630D" w14:textId="77777777" w:rsidR="00013B11" w:rsidRPr="00102057" w:rsidRDefault="00013B11" w:rsidP="00102057">
            <w:pPr>
              <w:jc w:val="right"/>
              <w:rPr>
                <w:rFonts w:eastAsia="Times New Roman" w:cs="Calibri"/>
                <w:color w:val="000000"/>
              </w:rPr>
            </w:pPr>
            <w:r>
              <w:rPr>
                <w:rFonts w:eastAsia="Times New Roman" w:cs="Calibri"/>
                <w:color w:val="000000"/>
              </w:rPr>
              <w:t>50</w:t>
            </w:r>
          </w:p>
        </w:tc>
      </w:tr>
      <w:tr w:rsidR="00013B11" w:rsidRPr="00102057" w14:paraId="1D1EAD21"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7B30F57B" w14:textId="77777777" w:rsidR="00013B11" w:rsidRPr="00102057" w:rsidRDefault="00013B11" w:rsidP="00102057">
            <w:pPr>
              <w:jc w:val="right"/>
              <w:rPr>
                <w:rFonts w:eastAsia="Times New Roman" w:cs="Calibri"/>
                <w:color w:val="000000"/>
              </w:rPr>
            </w:pPr>
            <w:r w:rsidRPr="00102057">
              <w:rPr>
                <w:rFonts w:eastAsia="Times New Roman" w:cs="Calibri"/>
                <w:color w:val="000000"/>
              </w:rPr>
              <w:t>3/1/2023</w:t>
            </w:r>
          </w:p>
        </w:tc>
        <w:tc>
          <w:tcPr>
            <w:tcW w:w="960" w:type="dxa"/>
            <w:tcBorders>
              <w:top w:val="nil"/>
              <w:left w:val="nil"/>
              <w:bottom w:val="single" w:sz="4" w:space="0" w:color="auto"/>
              <w:right w:val="single" w:sz="4" w:space="0" w:color="auto"/>
            </w:tcBorders>
            <w:noWrap/>
            <w:vAlign w:val="bottom"/>
            <w:hideMark/>
          </w:tcPr>
          <w:p w14:paraId="20466699" w14:textId="77777777" w:rsidR="00013B11" w:rsidRPr="00102057" w:rsidRDefault="00013B11" w:rsidP="00102057">
            <w:pPr>
              <w:jc w:val="right"/>
              <w:rPr>
                <w:rFonts w:eastAsia="Times New Roman" w:cs="Calibri"/>
                <w:color w:val="000000"/>
              </w:rPr>
            </w:pPr>
            <w:r>
              <w:rPr>
                <w:rFonts w:eastAsia="Times New Roman" w:cs="Calibri"/>
                <w:color w:val="000000"/>
              </w:rPr>
              <w:t>51</w:t>
            </w:r>
          </w:p>
        </w:tc>
        <w:tc>
          <w:tcPr>
            <w:tcW w:w="1120" w:type="dxa"/>
            <w:tcBorders>
              <w:top w:val="nil"/>
              <w:left w:val="nil"/>
              <w:bottom w:val="single" w:sz="4" w:space="0" w:color="auto"/>
              <w:right w:val="single" w:sz="4" w:space="0" w:color="auto"/>
            </w:tcBorders>
            <w:noWrap/>
            <w:vAlign w:val="bottom"/>
            <w:hideMark/>
          </w:tcPr>
          <w:p w14:paraId="47DAB93F"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2D019289"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1520" w:type="dxa"/>
            <w:tcBorders>
              <w:top w:val="nil"/>
              <w:left w:val="nil"/>
              <w:bottom w:val="single" w:sz="4" w:space="0" w:color="auto"/>
              <w:right w:val="single" w:sz="4" w:space="0" w:color="auto"/>
            </w:tcBorders>
            <w:noWrap/>
            <w:vAlign w:val="bottom"/>
            <w:hideMark/>
          </w:tcPr>
          <w:p w14:paraId="305F53C8"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541DFA78" w14:textId="77777777" w:rsidR="00013B11" w:rsidRPr="00102057" w:rsidRDefault="00013B11" w:rsidP="00102057">
            <w:pPr>
              <w:jc w:val="right"/>
              <w:rPr>
                <w:rFonts w:eastAsia="Times New Roman" w:cs="Calibri"/>
                <w:color w:val="000000"/>
              </w:rPr>
            </w:pPr>
            <w:r>
              <w:rPr>
                <w:rFonts w:eastAsia="Times New Roman" w:cs="Calibri"/>
                <w:color w:val="000000"/>
              </w:rPr>
              <w:t>51</w:t>
            </w:r>
          </w:p>
        </w:tc>
      </w:tr>
      <w:tr w:rsidR="00013B11" w:rsidRPr="00102057" w14:paraId="7A4680AA"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3CE4952B" w14:textId="77777777" w:rsidR="00013B11" w:rsidRPr="00102057" w:rsidRDefault="00013B11" w:rsidP="00102057">
            <w:pPr>
              <w:jc w:val="right"/>
              <w:rPr>
                <w:rFonts w:eastAsia="Times New Roman" w:cs="Calibri"/>
                <w:color w:val="000000"/>
              </w:rPr>
            </w:pPr>
            <w:r w:rsidRPr="00102057">
              <w:rPr>
                <w:rFonts w:eastAsia="Times New Roman" w:cs="Calibri"/>
                <w:color w:val="000000"/>
              </w:rPr>
              <w:t>4/1/2023</w:t>
            </w:r>
          </w:p>
        </w:tc>
        <w:tc>
          <w:tcPr>
            <w:tcW w:w="960" w:type="dxa"/>
            <w:tcBorders>
              <w:top w:val="nil"/>
              <w:left w:val="nil"/>
              <w:bottom w:val="single" w:sz="4" w:space="0" w:color="auto"/>
              <w:right w:val="single" w:sz="4" w:space="0" w:color="auto"/>
            </w:tcBorders>
            <w:noWrap/>
            <w:vAlign w:val="bottom"/>
            <w:hideMark/>
          </w:tcPr>
          <w:p w14:paraId="283B65B8" w14:textId="77777777" w:rsidR="00013B11" w:rsidRPr="00102057" w:rsidRDefault="00013B11" w:rsidP="00102057">
            <w:pPr>
              <w:jc w:val="right"/>
              <w:rPr>
                <w:rFonts w:eastAsia="Times New Roman" w:cs="Calibri"/>
                <w:color w:val="000000"/>
              </w:rPr>
            </w:pPr>
            <w:r>
              <w:rPr>
                <w:rFonts w:eastAsia="Times New Roman" w:cs="Calibri"/>
                <w:color w:val="000000"/>
              </w:rPr>
              <w:t>53</w:t>
            </w:r>
          </w:p>
        </w:tc>
        <w:tc>
          <w:tcPr>
            <w:tcW w:w="1120" w:type="dxa"/>
            <w:tcBorders>
              <w:top w:val="nil"/>
              <w:left w:val="nil"/>
              <w:bottom w:val="single" w:sz="4" w:space="0" w:color="auto"/>
              <w:right w:val="single" w:sz="4" w:space="0" w:color="auto"/>
            </w:tcBorders>
            <w:noWrap/>
            <w:vAlign w:val="bottom"/>
            <w:hideMark/>
          </w:tcPr>
          <w:p w14:paraId="09BA082F" w14:textId="77777777" w:rsidR="00013B11" w:rsidRPr="00102057" w:rsidRDefault="00013B11" w:rsidP="00102057">
            <w:pPr>
              <w:jc w:val="right"/>
              <w:rPr>
                <w:rFonts w:eastAsia="Times New Roman" w:cs="Calibri"/>
                <w:color w:val="000000"/>
              </w:rPr>
            </w:pPr>
            <w:r>
              <w:rPr>
                <w:rFonts w:eastAsia="Times New Roman" w:cs="Calibri"/>
                <w:color w:val="000000"/>
              </w:rPr>
              <w:t>3</w:t>
            </w:r>
          </w:p>
        </w:tc>
        <w:tc>
          <w:tcPr>
            <w:tcW w:w="960" w:type="dxa"/>
            <w:tcBorders>
              <w:top w:val="nil"/>
              <w:left w:val="nil"/>
              <w:bottom w:val="single" w:sz="4" w:space="0" w:color="auto"/>
              <w:right w:val="single" w:sz="4" w:space="0" w:color="auto"/>
            </w:tcBorders>
            <w:noWrap/>
            <w:vAlign w:val="bottom"/>
            <w:hideMark/>
          </w:tcPr>
          <w:p w14:paraId="40D8995D"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1520" w:type="dxa"/>
            <w:tcBorders>
              <w:top w:val="nil"/>
              <w:left w:val="nil"/>
              <w:bottom w:val="single" w:sz="4" w:space="0" w:color="auto"/>
              <w:right w:val="single" w:sz="4" w:space="0" w:color="auto"/>
            </w:tcBorders>
            <w:noWrap/>
            <w:vAlign w:val="bottom"/>
            <w:hideMark/>
          </w:tcPr>
          <w:p w14:paraId="508057A8" w14:textId="77777777" w:rsidR="00013B11" w:rsidRPr="00102057" w:rsidRDefault="00013B11" w:rsidP="00102057">
            <w:pPr>
              <w:jc w:val="right"/>
              <w:rPr>
                <w:rFonts w:eastAsia="Times New Roman" w:cs="Calibri"/>
                <w:color w:val="000000"/>
              </w:rPr>
            </w:pPr>
            <w:r>
              <w:rPr>
                <w:rFonts w:eastAsia="Times New Roman" w:cs="Calibri"/>
                <w:color w:val="000000"/>
              </w:rPr>
              <w:t>18</w:t>
            </w:r>
          </w:p>
        </w:tc>
        <w:tc>
          <w:tcPr>
            <w:tcW w:w="960" w:type="dxa"/>
            <w:tcBorders>
              <w:top w:val="nil"/>
              <w:left w:val="nil"/>
              <w:bottom w:val="single" w:sz="4" w:space="0" w:color="auto"/>
              <w:right w:val="single" w:sz="4" w:space="0" w:color="auto"/>
            </w:tcBorders>
            <w:noWrap/>
            <w:vAlign w:val="bottom"/>
            <w:hideMark/>
          </w:tcPr>
          <w:p w14:paraId="66AF9DD2" w14:textId="77777777" w:rsidR="00013B11" w:rsidRPr="00102057" w:rsidRDefault="00013B11" w:rsidP="00102057">
            <w:pPr>
              <w:jc w:val="right"/>
              <w:rPr>
                <w:rFonts w:eastAsia="Times New Roman" w:cs="Calibri"/>
                <w:color w:val="000000"/>
              </w:rPr>
            </w:pPr>
            <w:r>
              <w:rPr>
                <w:rFonts w:eastAsia="Times New Roman" w:cs="Calibri"/>
                <w:color w:val="000000"/>
              </w:rPr>
              <w:t>74</w:t>
            </w:r>
          </w:p>
        </w:tc>
      </w:tr>
      <w:tr w:rsidR="00013B11" w:rsidRPr="00102057" w14:paraId="26095ADD"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7DC2F1DD" w14:textId="77777777" w:rsidR="00013B11" w:rsidRPr="00102057" w:rsidRDefault="00013B11" w:rsidP="00102057">
            <w:pPr>
              <w:jc w:val="right"/>
              <w:rPr>
                <w:rFonts w:eastAsia="Times New Roman" w:cs="Calibri"/>
                <w:color w:val="000000"/>
              </w:rPr>
            </w:pPr>
            <w:r w:rsidRPr="00102057">
              <w:rPr>
                <w:rFonts w:eastAsia="Times New Roman" w:cs="Calibri"/>
                <w:color w:val="000000"/>
              </w:rPr>
              <w:t>5/1/2023</w:t>
            </w:r>
          </w:p>
        </w:tc>
        <w:tc>
          <w:tcPr>
            <w:tcW w:w="960" w:type="dxa"/>
            <w:tcBorders>
              <w:top w:val="nil"/>
              <w:left w:val="nil"/>
              <w:bottom w:val="single" w:sz="4" w:space="0" w:color="auto"/>
              <w:right w:val="single" w:sz="4" w:space="0" w:color="auto"/>
            </w:tcBorders>
            <w:noWrap/>
            <w:vAlign w:val="bottom"/>
            <w:hideMark/>
          </w:tcPr>
          <w:p w14:paraId="3AC5B215" w14:textId="77777777" w:rsidR="00013B11" w:rsidRPr="00102057" w:rsidRDefault="00013B11" w:rsidP="00102057">
            <w:pPr>
              <w:jc w:val="right"/>
              <w:rPr>
                <w:rFonts w:eastAsia="Times New Roman" w:cs="Calibri"/>
                <w:color w:val="000000"/>
              </w:rPr>
            </w:pPr>
            <w:r>
              <w:rPr>
                <w:rFonts w:eastAsia="Times New Roman" w:cs="Calibri"/>
                <w:color w:val="000000"/>
              </w:rPr>
              <w:t>68</w:t>
            </w:r>
          </w:p>
        </w:tc>
        <w:tc>
          <w:tcPr>
            <w:tcW w:w="1120" w:type="dxa"/>
            <w:tcBorders>
              <w:top w:val="nil"/>
              <w:left w:val="nil"/>
              <w:bottom w:val="single" w:sz="4" w:space="0" w:color="auto"/>
              <w:right w:val="single" w:sz="4" w:space="0" w:color="auto"/>
            </w:tcBorders>
            <w:noWrap/>
            <w:vAlign w:val="bottom"/>
            <w:hideMark/>
          </w:tcPr>
          <w:p w14:paraId="4D4DA0C7" w14:textId="77777777" w:rsidR="00013B11" w:rsidRPr="00102057" w:rsidRDefault="00013B11" w:rsidP="00102057">
            <w:pPr>
              <w:jc w:val="right"/>
              <w:rPr>
                <w:rFonts w:eastAsia="Times New Roman" w:cs="Calibri"/>
                <w:color w:val="000000"/>
              </w:rPr>
            </w:pPr>
            <w:r>
              <w:rPr>
                <w:rFonts w:eastAsia="Times New Roman" w:cs="Calibri"/>
                <w:color w:val="000000"/>
              </w:rPr>
              <w:t>2</w:t>
            </w:r>
          </w:p>
        </w:tc>
        <w:tc>
          <w:tcPr>
            <w:tcW w:w="960" w:type="dxa"/>
            <w:tcBorders>
              <w:top w:val="nil"/>
              <w:left w:val="nil"/>
              <w:bottom w:val="single" w:sz="4" w:space="0" w:color="auto"/>
              <w:right w:val="single" w:sz="4" w:space="0" w:color="auto"/>
            </w:tcBorders>
            <w:noWrap/>
            <w:vAlign w:val="bottom"/>
            <w:hideMark/>
          </w:tcPr>
          <w:p w14:paraId="361DC145"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1520" w:type="dxa"/>
            <w:tcBorders>
              <w:top w:val="nil"/>
              <w:left w:val="nil"/>
              <w:bottom w:val="single" w:sz="4" w:space="0" w:color="auto"/>
              <w:right w:val="single" w:sz="4" w:space="0" w:color="auto"/>
            </w:tcBorders>
            <w:noWrap/>
            <w:vAlign w:val="bottom"/>
            <w:hideMark/>
          </w:tcPr>
          <w:p w14:paraId="2E8C38C7"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960" w:type="dxa"/>
            <w:tcBorders>
              <w:top w:val="nil"/>
              <w:left w:val="nil"/>
              <w:bottom w:val="single" w:sz="4" w:space="0" w:color="auto"/>
              <w:right w:val="single" w:sz="4" w:space="0" w:color="auto"/>
            </w:tcBorders>
            <w:noWrap/>
            <w:vAlign w:val="bottom"/>
            <w:hideMark/>
          </w:tcPr>
          <w:p w14:paraId="546AF36C" w14:textId="77777777" w:rsidR="00013B11" w:rsidRPr="00102057" w:rsidRDefault="00013B11" w:rsidP="00102057">
            <w:pPr>
              <w:jc w:val="right"/>
              <w:rPr>
                <w:rFonts w:eastAsia="Times New Roman" w:cs="Calibri"/>
                <w:color w:val="000000"/>
              </w:rPr>
            </w:pPr>
            <w:r>
              <w:rPr>
                <w:rFonts w:eastAsia="Times New Roman" w:cs="Calibri"/>
                <w:color w:val="000000"/>
              </w:rPr>
              <w:t>71</w:t>
            </w:r>
          </w:p>
        </w:tc>
      </w:tr>
      <w:tr w:rsidR="00013B11" w:rsidRPr="00102057" w14:paraId="25C0A0A2"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4FEFA7F3" w14:textId="77777777" w:rsidR="00013B11" w:rsidRPr="00102057" w:rsidRDefault="00013B11" w:rsidP="00102057">
            <w:pPr>
              <w:jc w:val="right"/>
              <w:rPr>
                <w:rFonts w:eastAsia="Times New Roman" w:cs="Calibri"/>
                <w:color w:val="000000"/>
              </w:rPr>
            </w:pPr>
            <w:r w:rsidRPr="00102057">
              <w:rPr>
                <w:rFonts w:eastAsia="Times New Roman" w:cs="Calibri"/>
                <w:color w:val="000000"/>
              </w:rPr>
              <w:t>6/1/2023</w:t>
            </w:r>
          </w:p>
        </w:tc>
        <w:tc>
          <w:tcPr>
            <w:tcW w:w="960" w:type="dxa"/>
            <w:tcBorders>
              <w:top w:val="nil"/>
              <w:left w:val="nil"/>
              <w:bottom w:val="single" w:sz="4" w:space="0" w:color="auto"/>
              <w:right w:val="single" w:sz="4" w:space="0" w:color="auto"/>
            </w:tcBorders>
            <w:noWrap/>
            <w:vAlign w:val="bottom"/>
            <w:hideMark/>
          </w:tcPr>
          <w:p w14:paraId="380B030C" w14:textId="77777777" w:rsidR="00013B11" w:rsidRPr="00102057" w:rsidRDefault="00013B11" w:rsidP="00102057">
            <w:pPr>
              <w:jc w:val="right"/>
              <w:rPr>
                <w:rFonts w:eastAsia="Times New Roman" w:cs="Calibri"/>
                <w:color w:val="000000"/>
              </w:rPr>
            </w:pPr>
            <w:r>
              <w:rPr>
                <w:rFonts w:eastAsia="Times New Roman" w:cs="Calibri"/>
                <w:color w:val="000000"/>
              </w:rPr>
              <w:t>68</w:t>
            </w:r>
          </w:p>
        </w:tc>
        <w:tc>
          <w:tcPr>
            <w:tcW w:w="1120" w:type="dxa"/>
            <w:tcBorders>
              <w:top w:val="nil"/>
              <w:left w:val="nil"/>
              <w:bottom w:val="single" w:sz="4" w:space="0" w:color="auto"/>
              <w:right w:val="single" w:sz="4" w:space="0" w:color="auto"/>
            </w:tcBorders>
            <w:noWrap/>
            <w:vAlign w:val="bottom"/>
            <w:hideMark/>
          </w:tcPr>
          <w:p w14:paraId="1980C12C" w14:textId="77777777" w:rsidR="00013B11" w:rsidRPr="00102057" w:rsidRDefault="00013B11" w:rsidP="00102057">
            <w:pPr>
              <w:jc w:val="right"/>
              <w:rPr>
                <w:rFonts w:eastAsia="Times New Roman" w:cs="Calibri"/>
                <w:color w:val="000000"/>
              </w:rPr>
            </w:pPr>
            <w:r>
              <w:rPr>
                <w:rFonts w:eastAsia="Times New Roman" w:cs="Calibri"/>
                <w:color w:val="000000"/>
              </w:rPr>
              <w:t>0</w:t>
            </w:r>
          </w:p>
        </w:tc>
        <w:tc>
          <w:tcPr>
            <w:tcW w:w="960" w:type="dxa"/>
            <w:tcBorders>
              <w:top w:val="nil"/>
              <w:left w:val="nil"/>
              <w:bottom w:val="single" w:sz="4" w:space="0" w:color="auto"/>
              <w:right w:val="single" w:sz="4" w:space="0" w:color="auto"/>
            </w:tcBorders>
            <w:noWrap/>
            <w:vAlign w:val="bottom"/>
            <w:hideMark/>
          </w:tcPr>
          <w:p w14:paraId="7B7F7857" w14:textId="77777777" w:rsidR="00013B11" w:rsidRPr="00102057" w:rsidRDefault="00013B11" w:rsidP="00102057">
            <w:pPr>
              <w:jc w:val="right"/>
              <w:rPr>
                <w:rFonts w:eastAsia="Times New Roman" w:cs="Calibri"/>
                <w:color w:val="000000"/>
              </w:rPr>
            </w:pPr>
            <w:r>
              <w:rPr>
                <w:rFonts w:eastAsia="Times New Roman" w:cs="Calibri"/>
                <w:color w:val="000000"/>
              </w:rPr>
              <w:t>1</w:t>
            </w:r>
          </w:p>
        </w:tc>
        <w:tc>
          <w:tcPr>
            <w:tcW w:w="1520" w:type="dxa"/>
            <w:tcBorders>
              <w:top w:val="nil"/>
              <w:left w:val="nil"/>
              <w:bottom w:val="single" w:sz="4" w:space="0" w:color="auto"/>
              <w:right w:val="single" w:sz="4" w:space="0" w:color="auto"/>
            </w:tcBorders>
            <w:noWrap/>
            <w:vAlign w:val="bottom"/>
            <w:hideMark/>
          </w:tcPr>
          <w:p w14:paraId="6438AD1F" w14:textId="77777777" w:rsidR="00013B11" w:rsidRPr="00102057" w:rsidRDefault="00013B11" w:rsidP="00102057">
            <w:pPr>
              <w:jc w:val="right"/>
              <w:rPr>
                <w:rFonts w:eastAsia="Times New Roman" w:cs="Calibri"/>
                <w:color w:val="000000"/>
              </w:rPr>
            </w:pPr>
            <w:r>
              <w:rPr>
                <w:rFonts w:eastAsia="Times New Roman" w:cs="Calibri"/>
                <w:color w:val="000000"/>
              </w:rPr>
              <w:t>24</w:t>
            </w:r>
          </w:p>
        </w:tc>
        <w:tc>
          <w:tcPr>
            <w:tcW w:w="960" w:type="dxa"/>
            <w:tcBorders>
              <w:top w:val="nil"/>
              <w:left w:val="nil"/>
              <w:bottom w:val="single" w:sz="4" w:space="0" w:color="auto"/>
              <w:right w:val="single" w:sz="4" w:space="0" w:color="auto"/>
            </w:tcBorders>
            <w:noWrap/>
            <w:vAlign w:val="bottom"/>
            <w:hideMark/>
          </w:tcPr>
          <w:p w14:paraId="6D56607E" w14:textId="77777777" w:rsidR="00013B11" w:rsidRPr="00102057" w:rsidRDefault="00013B11" w:rsidP="00102057">
            <w:pPr>
              <w:jc w:val="right"/>
              <w:rPr>
                <w:rFonts w:eastAsia="Times New Roman" w:cs="Calibri"/>
                <w:color w:val="000000"/>
              </w:rPr>
            </w:pPr>
            <w:r>
              <w:rPr>
                <w:rFonts w:eastAsia="Times New Roman" w:cs="Calibri"/>
                <w:color w:val="000000"/>
              </w:rPr>
              <w:t>93</w:t>
            </w:r>
          </w:p>
        </w:tc>
      </w:tr>
      <w:tr w:rsidR="00013B11" w:rsidRPr="00102057" w14:paraId="71862670" w14:textId="77777777" w:rsidTr="00013B11">
        <w:trPr>
          <w:trHeight w:val="290"/>
        </w:trPr>
        <w:tc>
          <w:tcPr>
            <w:tcW w:w="1180" w:type="dxa"/>
            <w:tcBorders>
              <w:top w:val="nil"/>
              <w:left w:val="single" w:sz="4" w:space="0" w:color="auto"/>
              <w:bottom w:val="single" w:sz="4" w:space="0" w:color="auto"/>
              <w:right w:val="single" w:sz="4" w:space="0" w:color="auto"/>
            </w:tcBorders>
            <w:noWrap/>
            <w:vAlign w:val="bottom"/>
            <w:hideMark/>
          </w:tcPr>
          <w:p w14:paraId="69DF3F31" w14:textId="77777777" w:rsidR="00013B11" w:rsidRPr="00102057" w:rsidRDefault="00013B11" w:rsidP="00102057">
            <w:pPr>
              <w:rPr>
                <w:rFonts w:eastAsia="Times New Roman" w:cs="Calibri"/>
                <w:color w:val="000000"/>
              </w:rPr>
            </w:pPr>
            <w:r w:rsidRPr="00102057">
              <w:rPr>
                <w:rFonts w:eastAsia="Times New Roman" w:cs="Calibri"/>
                <w:color w:val="000000"/>
              </w:rPr>
              <w:t>Total</w:t>
            </w:r>
          </w:p>
        </w:tc>
        <w:tc>
          <w:tcPr>
            <w:tcW w:w="960" w:type="dxa"/>
            <w:tcBorders>
              <w:top w:val="nil"/>
              <w:left w:val="nil"/>
              <w:bottom w:val="single" w:sz="4" w:space="0" w:color="auto"/>
              <w:right w:val="single" w:sz="4" w:space="0" w:color="auto"/>
            </w:tcBorders>
            <w:noWrap/>
            <w:vAlign w:val="bottom"/>
            <w:hideMark/>
          </w:tcPr>
          <w:p w14:paraId="34881A8F" w14:textId="77777777" w:rsidR="00013B11" w:rsidRPr="00102057" w:rsidRDefault="00013B11" w:rsidP="00102057">
            <w:pPr>
              <w:jc w:val="right"/>
              <w:rPr>
                <w:rFonts w:eastAsia="Times New Roman" w:cs="Calibri"/>
                <w:color w:val="000000"/>
              </w:rPr>
            </w:pPr>
            <w:r>
              <w:rPr>
                <w:rFonts w:eastAsia="Times New Roman" w:cs="Calibri"/>
                <w:color w:val="000000"/>
              </w:rPr>
              <w:t>481</w:t>
            </w:r>
          </w:p>
        </w:tc>
        <w:tc>
          <w:tcPr>
            <w:tcW w:w="1120" w:type="dxa"/>
            <w:tcBorders>
              <w:top w:val="nil"/>
              <w:left w:val="nil"/>
              <w:bottom w:val="single" w:sz="4" w:space="0" w:color="auto"/>
              <w:right w:val="single" w:sz="4" w:space="0" w:color="auto"/>
            </w:tcBorders>
            <w:noWrap/>
            <w:vAlign w:val="bottom"/>
            <w:hideMark/>
          </w:tcPr>
          <w:p w14:paraId="646FBF08" w14:textId="77777777" w:rsidR="00013B11" w:rsidRPr="00102057" w:rsidRDefault="00013B11" w:rsidP="00102057">
            <w:pPr>
              <w:jc w:val="right"/>
              <w:rPr>
                <w:rFonts w:eastAsia="Times New Roman" w:cs="Calibri"/>
                <w:color w:val="000000"/>
              </w:rPr>
            </w:pPr>
            <w:r>
              <w:rPr>
                <w:rFonts w:eastAsia="Times New Roman" w:cs="Calibri"/>
                <w:color w:val="000000"/>
              </w:rPr>
              <w:t>18</w:t>
            </w:r>
          </w:p>
        </w:tc>
        <w:tc>
          <w:tcPr>
            <w:tcW w:w="960" w:type="dxa"/>
            <w:tcBorders>
              <w:top w:val="nil"/>
              <w:left w:val="nil"/>
              <w:bottom w:val="single" w:sz="4" w:space="0" w:color="auto"/>
              <w:right w:val="single" w:sz="4" w:space="0" w:color="auto"/>
            </w:tcBorders>
            <w:noWrap/>
            <w:vAlign w:val="bottom"/>
            <w:hideMark/>
          </w:tcPr>
          <w:p w14:paraId="2E008301" w14:textId="77777777" w:rsidR="00013B11" w:rsidRPr="00102057" w:rsidRDefault="00013B11" w:rsidP="00102057">
            <w:pPr>
              <w:jc w:val="right"/>
              <w:rPr>
                <w:rFonts w:eastAsia="Times New Roman" w:cs="Calibri"/>
                <w:color w:val="000000"/>
              </w:rPr>
            </w:pPr>
            <w:r>
              <w:rPr>
                <w:rFonts w:eastAsia="Times New Roman" w:cs="Calibri"/>
                <w:color w:val="000000"/>
              </w:rPr>
              <w:t>13</w:t>
            </w:r>
          </w:p>
        </w:tc>
        <w:tc>
          <w:tcPr>
            <w:tcW w:w="1520" w:type="dxa"/>
            <w:tcBorders>
              <w:top w:val="nil"/>
              <w:left w:val="nil"/>
              <w:bottom w:val="single" w:sz="4" w:space="0" w:color="auto"/>
              <w:right w:val="single" w:sz="4" w:space="0" w:color="auto"/>
            </w:tcBorders>
            <w:noWrap/>
            <w:vAlign w:val="bottom"/>
            <w:hideMark/>
          </w:tcPr>
          <w:p w14:paraId="64AE82D2" w14:textId="77777777" w:rsidR="00013B11" w:rsidRPr="00102057" w:rsidRDefault="00013B11" w:rsidP="00102057">
            <w:pPr>
              <w:jc w:val="right"/>
              <w:rPr>
                <w:rFonts w:eastAsia="Times New Roman" w:cs="Calibri"/>
                <w:color w:val="000000"/>
              </w:rPr>
            </w:pPr>
            <w:r>
              <w:rPr>
                <w:rFonts w:eastAsia="Times New Roman" w:cs="Calibri"/>
                <w:color w:val="000000"/>
              </w:rPr>
              <w:t>44</w:t>
            </w:r>
          </w:p>
        </w:tc>
        <w:tc>
          <w:tcPr>
            <w:tcW w:w="960" w:type="dxa"/>
            <w:tcBorders>
              <w:top w:val="nil"/>
              <w:left w:val="nil"/>
              <w:bottom w:val="single" w:sz="4" w:space="0" w:color="auto"/>
              <w:right w:val="single" w:sz="4" w:space="0" w:color="auto"/>
            </w:tcBorders>
            <w:noWrap/>
            <w:vAlign w:val="bottom"/>
            <w:hideMark/>
          </w:tcPr>
          <w:p w14:paraId="15DD9ABE" w14:textId="77777777" w:rsidR="00013B11" w:rsidRPr="00102057" w:rsidRDefault="00013B11" w:rsidP="00102057">
            <w:pPr>
              <w:jc w:val="right"/>
              <w:rPr>
                <w:rFonts w:eastAsia="Times New Roman" w:cs="Calibri"/>
                <w:color w:val="000000"/>
              </w:rPr>
            </w:pPr>
            <w:r>
              <w:rPr>
                <w:rFonts w:eastAsia="Times New Roman" w:cs="Calibri"/>
                <w:color w:val="000000"/>
              </w:rPr>
              <w:t>556</w:t>
            </w:r>
          </w:p>
        </w:tc>
      </w:tr>
    </w:tbl>
    <w:p w14:paraId="427D9877" w14:textId="77777777" w:rsidR="00134A48" w:rsidRDefault="00134A48" w:rsidP="00134A48"/>
    <w:p w14:paraId="674ED7C8" w14:textId="77777777" w:rsidR="00076352" w:rsidRPr="006E6C06" w:rsidRDefault="00076352" w:rsidP="00076352">
      <w:pPr>
        <w:spacing w:after="200" w:line="276" w:lineRule="auto"/>
        <w:rPr>
          <w:rFonts w:ascii="Times New Roman" w:hAnsi="Times New Roman"/>
          <w:b/>
          <w:bCs/>
          <w:u w:val="single"/>
        </w:rPr>
      </w:pPr>
    </w:p>
    <w:p w14:paraId="56B90998" w14:textId="77777777" w:rsidR="00076352" w:rsidRPr="00FE47A7" w:rsidRDefault="00076352" w:rsidP="00FE47A7">
      <w:pPr>
        <w:pStyle w:val="Style1"/>
      </w:pPr>
      <w:r w:rsidRPr="00FE47A7">
        <w:t>Connecticut Rental Assistance Programs (RAP)</w:t>
      </w:r>
    </w:p>
    <w:p w14:paraId="13B1E250" w14:textId="77777777" w:rsidR="00076352" w:rsidRPr="00807B4F" w:rsidRDefault="00076352" w:rsidP="00807B4F">
      <w:pPr>
        <w:spacing w:after="200"/>
        <w:jc w:val="both"/>
        <w:rPr>
          <w:rFonts w:ascii="Times New Roman" w:eastAsia="Times New Roman" w:hAnsi="Times New Roman"/>
        </w:rPr>
      </w:pPr>
      <w:r w:rsidRPr="00863900">
        <w:rPr>
          <w:rFonts w:ascii="Times New Roman" w:hAnsi="Times New Roman"/>
        </w:rPr>
        <w:t>The State of Connecticut Department of Housing Rental Assistance Program (RAP) is the primary state-supported program for assisting very-low-income families to afford decent, safe, and sanitary housing in the private market. </w:t>
      </w:r>
      <w:r w:rsidRPr="00863900">
        <w:rPr>
          <w:rFonts w:ascii="Times New Roman" w:eastAsia="Times New Roman" w:hAnsi="Times New Roman"/>
        </w:rPr>
        <w:t xml:space="preserve">Much like the federal Housing Choice Voucher program, RAP provides a portable rental assistance subsidy, which allows a tenant to move from one rental unit to another provided the unit meets program requirements.  Participants that are issued a housing voucher are responsible for finding a suitable housing unit of the participant’s choice where the owner agrees to rent under the program.  Participants </w:t>
      </w:r>
      <w:proofErr w:type="gramStart"/>
      <w:r w:rsidRPr="00863900">
        <w:rPr>
          <w:rFonts w:ascii="Times New Roman" w:eastAsia="Times New Roman" w:hAnsi="Times New Roman"/>
        </w:rPr>
        <w:t>are able to</w:t>
      </w:r>
      <w:proofErr w:type="gramEnd"/>
      <w:r w:rsidRPr="00863900">
        <w:rPr>
          <w:rFonts w:ascii="Times New Roman" w:eastAsia="Times New Roman" w:hAnsi="Times New Roman"/>
        </w:rPr>
        <w:t xml:space="preserve"> select their own housing, including apartments, townhouses, and single-family homes.    Rental units must meet minimum standards of quality and safety as defined by the State of Connecticut, which has adopted the federal Housing Quality Standards</w:t>
      </w:r>
      <w:r w:rsidR="008E06FC">
        <w:rPr>
          <w:rFonts w:ascii="Times New Roman" w:eastAsia="Times New Roman" w:hAnsi="Times New Roman"/>
        </w:rPr>
        <w:t xml:space="preserve"> (HQS) as established by the U.</w:t>
      </w:r>
      <w:r w:rsidRPr="00863900">
        <w:rPr>
          <w:rFonts w:ascii="Times New Roman" w:eastAsia="Times New Roman" w:hAnsi="Times New Roman"/>
        </w:rPr>
        <w:t xml:space="preserve">S. Department of Housing and Urban Development (HUD). Participants pay 40% of their adjusted gross income (or 30% of adjusted gross income if the participant is elderly or disabled) toward the rent and the DOH rental subsidy (RAP) pays the remainder of the contract rent directly to the landlord.  Currently over </w:t>
      </w:r>
      <w:r w:rsidR="001E79AB">
        <w:rPr>
          <w:rFonts w:ascii="Times New Roman" w:eastAsia="Times New Roman" w:hAnsi="Times New Roman"/>
        </w:rPr>
        <w:t>6</w:t>
      </w:r>
      <w:r w:rsidR="001177D7">
        <w:rPr>
          <w:rFonts w:ascii="Times New Roman" w:eastAsia="Times New Roman" w:hAnsi="Times New Roman"/>
        </w:rPr>
        <w:t>000</w:t>
      </w:r>
      <w:r w:rsidRPr="00863900">
        <w:rPr>
          <w:rFonts w:ascii="Times New Roman" w:eastAsia="Times New Roman" w:hAnsi="Times New Roman"/>
        </w:rPr>
        <w:t xml:space="preserve"> households utilize RAP cer</w:t>
      </w:r>
      <w:r w:rsidR="00807B4F">
        <w:rPr>
          <w:rFonts w:ascii="Times New Roman" w:eastAsia="Times New Roman" w:hAnsi="Times New Roman"/>
        </w:rPr>
        <w:t>tificates throughout the state.</w:t>
      </w:r>
    </w:p>
    <w:p w14:paraId="2A43E597" w14:textId="77777777" w:rsidR="00076352" w:rsidRPr="00863900" w:rsidRDefault="00076352" w:rsidP="0086328F">
      <w:pPr>
        <w:spacing w:after="200"/>
        <w:jc w:val="both"/>
        <w:rPr>
          <w:rFonts w:ascii="Times New Roman" w:hAnsi="Times New Roman"/>
          <w:color w:val="000000"/>
        </w:rPr>
      </w:pPr>
      <w:r w:rsidRPr="00863900">
        <w:rPr>
          <w:rFonts w:ascii="Times New Roman" w:hAnsi="Times New Roman"/>
        </w:rPr>
        <w:t xml:space="preserve">DOH </w:t>
      </w:r>
      <w:r w:rsidR="00134A48">
        <w:rPr>
          <w:rFonts w:ascii="Times New Roman" w:hAnsi="Times New Roman"/>
          <w:color w:val="000000"/>
        </w:rPr>
        <w:t>adheres to the 202</w:t>
      </w:r>
      <w:r w:rsidR="00F0483D">
        <w:rPr>
          <w:rFonts w:ascii="Times New Roman" w:hAnsi="Times New Roman"/>
          <w:color w:val="000000"/>
        </w:rPr>
        <w:t>3</w:t>
      </w:r>
      <w:r w:rsidRPr="00863900">
        <w:rPr>
          <w:rFonts w:ascii="Times New Roman" w:hAnsi="Times New Roman"/>
          <w:color w:val="000000"/>
        </w:rPr>
        <w:t xml:space="preserve"> State of Connecticut Administrative Plan for the Rental Assistance Program.  The administrative plan is mandated by State Regulations, Section 17b-812 and is updated annually by the DOH.  </w:t>
      </w:r>
    </w:p>
    <w:p w14:paraId="09CB931F" w14:textId="77777777" w:rsidR="006F2094" w:rsidRPr="002872A9" w:rsidRDefault="00076352" w:rsidP="002872A9">
      <w:pPr>
        <w:spacing w:after="200"/>
        <w:jc w:val="both"/>
        <w:rPr>
          <w:rFonts w:ascii="Times New Roman" w:hAnsi="Times New Roman"/>
          <w:color w:val="000000"/>
        </w:rPr>
      </w:pPr>
      <w:r w:rsidRPr="00863900">
        <w:rPr>
          <w:rFonts w:ascii="Times New Roman" w:hAnsi="Times New Roman"/>
          <w:color w:val="000000"/>
        </w:rPr>
        <w:t xml:space="preserve">The State of Connecticut realizes that finding affordable housing for clients of other state agencies is important to their success.  Without affordable housing, clients of the Departments of Children and Families, Developmental Disabilities, Mental Health and Addiction Services and Social Services may be placed in inappropriate higher cost living situations that do not benefit the clients or the state.  As a result, the State </w:t>
      </w:r>
      <w:r w:rsidR="00483AEC">
        <w:rPr>
          <w:rFonts w:ascii="Times New Roman" w:hAnsi="Times New Roman"/>
          <w:color w:val="000000"/>
        </w:rPr>
        <w:t>of Connecticut has created nine</w:t>
      </w:r>
      <w:r w:rsidRPr="00863900">
        <w:rPr>
          <w:rFonts w:ascii="Times New Roman" w:hAnsi="Times New Roman"/>
          <w:color w:val="000000"/>
        </w:rPr>
        <w:t xml:space="preserve"> specialized housing programs that utilize Rental Assistance Program certificates and are managed by DOH.  DOH accounts for each type of RAP separately and allocates funding in accordance with legislative mandate.  The partnerships and programs are listed below. </w:t>
      </w:r>
    </w:p>
    <w:p w14:paraId="61D7C7C1" w14:textId="77777777" w:rsidR="006F2094" w:rsidRDefault="006F2094" w:rsidP="00076352">
      <w:pPr>
        <w:jc w:val="center"/>
        <w:rPr>
          <w:rFonts w:eastAsia="Times New Roman"/>
          <w:b/>
          <w:sz w:val="28"/>
          <w:szCs w:val="28"/>
          <w:u w:val="single"/>
        </w:rPr>
      </w:pPr>
    </w:p>
    <w:p w14:paraId="2E17197F" w14:textId="77777777" w:rsidR="00076352" w:rsidRPr="006E6C06" w:rsidRDefault="00076352" w:rsidP="00076352">
      <w:pPr>
        <w:jc w:val="center"/>
        <w:rPr>
          <w:rFonts w:ascii="Times New Roman" w:eastAsia="Times New Roman" w:hAnsi="Times New Roman"/>
          <w:b/>
          <w:sz w:val="28"/>
          <w:szCs w:val="28"/>
          <w:u w:val="single"/>
        </w:rPr>
      </w:pPr>
      <w:r w:rsidRPr="00FE47A7">
        <w:rPr>
          <w:rFonts w:ascii="Times New Roman" w:hAnsi="Times New Roman"/>
          <w:b/>
          <w:bCs/>
          <w:sz w:val="32"/>
          <w:szCs w:val="32"/>
          <w:u w:val="single"/>
        </w:rPr>
        <w:lastRenderedPageBreak/>
        <w:t>Department of Housing and Department of Children and Families Housing Collaborative</w:t>
      </w:r>
    </w:p>
    <w:p w14:paraId="4739E392" w14:textId="77777777" w:rsidR="00076352" w:rsidRPr="00863900" w:rsidRDefault="00076352" w:rsidP="00076352">
      <w:pPr>
        <w:jc w:val="center"/>
        <w:rPr>
          <w:rFonts w:ascii="Times New Roman" w:eastAsia="Times New Roman" w:hAnsi="Times New Roman"/>
          <w:b/>
          <w:sz w:val="24"/>
          <w:szCs w:val="24"/>
          <w:u w:val="single"/>
        </w:rPr>
      </w:pPr>
    </w:p>
    <w:p w14:paraId="12DC27FE" w14:textId="77777777" w:rsidR="00076352" w:rsidRPr="00FE47A7" w:rsidRDefault="00076352" w:rsidP="00FE47A7">
      <w:pPr>
        <w:pStyle w:val="Style2"/>
      </w:pPr>
      <w:r w:rsidRPr="00FE47A7">
        <w:t xml:space="preserve">Family Reunification Program  </w:t>
      </w:r>
    </w:p>
    <w:p w14:paraId="22F6E77C" w14:textId="77777777" w:rsidR="00076352" w:rsidRDefault="00076352" w:rsidP="0086328F">
      <w:pPr>
        <w:spacing w:after="200"/>
        <w:jc w:val="both"/>
        <w:rPr>
          <w:rFonts w:ascii="Times New Roman" w:eastAsia="Times New Roman" w:hAnsi="Times New Roman"/>
        </w:rPr>
      </w:pPr>
      <w:r w:rsidRPr="00863900">
        <w:rPr>
          <w:rFonts w:ascii="Times New Roman" w:eastAsia="Times New Roman" w:hAnsi="Times New Roman"/>
        </w:rPr>
        <w:t xml:space="preserve">The Family Reunification Program (FUP) builds off the success of the federally funded FUP program described in the previous section of this report.  FUP is a collaboration between the DOH and the Department of Children and Families (DCF) designed to reduce the number of children in foster care by providing affordable housing through a rental subsidy and the necessary support services, including intensive case management and behavioral health services, to vulnerable and homeless families.  The program serves families with mental health, substance abuse, domestic violence and other treatment needs. The DOH provides housing certificates through RAP to </w:t>
      </w:r>
      <w:proofErr w:type="gramStart"/>
      <w:r w:rsidRPr="00863900">
        <w:rPr>
          <w:rFonts w:ascii="Times New Roman" w:eastAsia="Times New Roman" w:hAnsi="Times New Roman"/>
        </w:rPr>
        <w:t>many of the</w:t>
      </w:r>
      <w:proofErr w:type="gramEnd"/>
      <w:r w:rsidRPr="00863900">
        <w:rPr>
          <w:rFonts w:ascii="Times New Roman" w:eastAsia="Times New Roman" w:hAnsi="Times New Roman"/>
        </w:rPr>
        <w:t xml:space="preserve"> families. The prog</w:t>
      </w:r>
      <w:r w:rsidR="001E79AB">
        <w:rPr>
          <w:rFonts w:ascii="Times New Roman" w:eastAsia="Times New Roman" w:hAnsi="Times New Roman"/>
        </w:rPr>
        <w:t>ram currently serves more than 4</w:t>
      </w:r>
      <w:r w:rsidRPr="00863900">
        <w:rPr>
          <w:rFonts w:ascii="Times New Roman" w:eastAsia="Times New Roman" w:hAnsi="Times New Roman"/>
        </w:rPr>
        <w:t xml:space="preserve">00 families annually and is credited with helping to reunify families whose children are in state care and to prevent the removal of children in circumstances where stable housing is a barrier. </w:t>
      </w:r>
    </w:p>
    <w:p w14:paraId="751B39F7" w14:textId="77777777" w:rsidR="001E79AB" w:rsidRPr="00863900" w:rsidRDefault="001E79AB" w:rsidP="0086328F">
      <w:pPr>
        <w:spacing w:after="200"/>
        <w:jc w:val="both"/>
        <w:rPr>
          <w:rFonts w:ascii="Times New Roman" w:eastAsia="Times New Roman" w:hAnsi="Times New Roman"/>
        </w:rPr>
      </w:pPr>
      <w:r>
        <w:rPr>
          <w:rFonts w:ascii="Times New Roman" w:eastAsia="Times New Roman" w:hAnsi="Times New Roman"/>
        </w:rPr>
        <w:t>In addition, the legislature allocated funding directly to the DCF to create an additional 450 units for the FUP</w:t>
      </w:r>
      <w:r w:rsidR="001E40EA">
        <w:rPr>
          <w:rFonts w:ascii="Times New Roman" w:eastAsia="Times New Roman" w:hAnsi="Times New Roman"/>
        </w:rPr>
        <w:t xml:space="preserve"> for fiscal year 17</w:t>
      </w:r>
      <w:r>
        <w:rPr>
          <w:rFonts w:ascii="Times New Roman" w:eastAsia="Times New Roman" w:hAnsi="Times New Roman"/>
        </w:rPr>
        <w:t xml:space="preserve">.  DCF in turn </w:t>
      </w:r>
      <w:proofErr w:type="gramStart"/>
      <w:r>
        <w:rPr>
          <w:rFonts w:ascii="Times New Roman" w:eastAsia="Times New Roman" w:hAnsi="Times New Roman"/>
        </w:rPr>
        <w:t>entered into</w:t>
      </w:r>
      <w:proofErr w:type="gramEnd"/>
      <w:r>
        <w:rPr>
          <w:rFonts w:ascii="Times New Roman" w:eastAsia="Times New Roman" w:hAnsi="Times New Roman"/>
        </w:rPr>
        <w:t xml:space="preserve"> a MOA with DOH to administer the RAPs</w:t>
      </w:r>
      <w:r w:rsidR="001E40EA">
        <w:rPr>
          <w:rFonts w:ascii="Times New Roman" w:eastAsia="Times New Roman" w:hAnsi="Times New Roman"/>
        </w:rPr>
        <w:t xml:space="preserve"> for the</w:t>
      </w:r>
      <w:r w:rsidR="006F42F8">
        <w:rPr>
          <w:rFonts w:ascii="Times New Roman" w:eastAsia="Times New Roman" w:hAnsi="Times New Roman"/>
        </w:rPr>
        <w:t xml:space="preserve"> p</w:t>
      </w:r>
      <w:r w:rsidR="00121F19">
        <w:rPr>
          <w:rFonts w:ascii="Times New Roman" w:eastAsia="Times New Roman" w:hAnsi="Times New Roman"/>
        </w:rPr>
        <w:t>rogram.  During fiscal year 2020</w:t>
      </w:r>
      <w:r w:rsidR="006F42F8">
        <w:rPr>
          <w:rFonts w:ascii="Times New Roman" w:eastAsia="Times New Roman" w:hAnsi="Times New Roman"/>
        </w:rPr>
        <w:t>, eligible tenants continued</w:t>
      </w:r>
      <w:r>
        <w:rPr>
          <w:rFonts w:ascii="Times New Roman" w:eastAsia="Times New Roman" w:hAnsi="Times New Roman"/>
        </w:rPr>
        <w:t xml:space="preserve"> to enroll into the program, </w:t>
      </w:r>
      <w:r w:rsidR="00084D5E">
        <w:rPr>
          <w:rFonts w:ascii="Times New Roman" w:eastAsia="Times New Roman" w:hAnsi="Times New Roman"/>
        </w:rPr>
        <w:t>and to date more than 8</w:t>
      </w:r>
      <w:r>
        <w:rPr>
          <w:rFonts w:ascii="Times New Roman" w:eastAsia="Times New Roman" w:hAnsi="Times New Roman"/>
        </w:rPr>
        <w:t>00 families have been assisted with this new funding.</w:t>
      </w:r>
    </w:p>
    <w:p w14:paraId="308BA23B" w14:textId="77777777" w:rsidR="00076352" w:rsidRDefault="00076352" w:rsidP="00FE47A7">
      <w:pPr>
        <w:jc w:val="center"/>
        <w:rPr>
          <w:rFonts w:ascii="Times New Roman" w:hAnsi="Times New Roman"/>
          <w:b/>
          <w:bCs/>
          <w:sz w:val="32"/>
          <w:szCs w:val="32"/>
          <w:u w:val="single"/>
        </w:rPr>
      </w:pPr>
      <w:r w:rsidRPr="00FE47A7">
        <w:rPr>
          <w:rFonts w:ascii="Times New Roman" w:hAnsi="Times New Roman"/>
          <w:b/>
          <w:bCs/>
          <w:sz w:val="32"/>
          <w:szCs w:val="32"/>
          <w:u w:val="single"/>
        </w:rPr>
        <w:t>Department of Housing and Department of Developmental Disabilities Housing Collaborative</w:t>
      </w:r>
    </w:p>
    <w:p w14:paraId="28DC7CC1" w14:textId="77777777" w:rsidR="00FE47A7" w:rsidRPr="00FE47A7" w:rsidRDefault="00FE47A7" w:rsidP="00FE47A7">
      <w:pPr>
        <w:jc w:val="center"/>
        <w:rPr>
          <w:rFonts w:ascii="Times New Roman" w:hAnsi="Times New Roman"/>
          <w:b/>
          <w:bCs/>
          <w:sz w:val="32"/>
          <w:szCs w:val="32"/>
          <w:u w:val="single"/>
        </w:rPr>
      </w:pPr>
    </w:p>
    <w:p w14:paraId="77DB81AE" w14:textId="77777777" w:rsidR="0086328F" w:rsidRDefault="00076352" w:rsidP="0086328F">
      <w:pPr>
        <w:spacing w:after="200"/>
        <w:jc w:val="both"/>
        <w:rPr>
          <w:rFonts w:ascii="Times New Roman" w:hAnsi="Times New Roman"/>
        </w:rPr>
      </w:pPr>
      <w:r w:rsidRPr="00863900">
        <w:rPr>
          <w:rFonts w:ascii="Times New Roman" w:hAnsi="Times New Roman"/>
        </w:rPr>
        <w:t xml:space="preserve">In State Fiscal Year 2014, The Department of Developmental Disabilities (DDS) received 15 RAP certificates for use in covering the rental costs associated with transitioning individuals from </w:t>
      </w:r>
      <w:r w:rsidR="00A21BFF" w:rsidRPr="00863900">
        <w:rPr>
          <w:rFonts w:ascii="Times New Roman" w:hAnsi="Times New Roman"/>
        </w:rPr>
        <w:t>24-hour privately-operated</w:t>
      </w:r>
      <w:r w:rsidRPr="00863900">
        <w:rPr>
          <w:rFonts w:ascii="Times New Roman" w:hAnsi="Times New Roman"/>
        </w:rPr>
        <w:t xml:space="preserve"> group homes to </w:t>
      </w:r>
      <w:r w:rsidR="00A21BFF" w:rsidRPr="00863900">
        <w:rPr>
          <w:rFonts w:ascii="Times New Roman" w:hAnsi="Times New Roman"/>
        </w:rPr>
        <w:t>community-based</w:t>
      </w:r>
      <w:r w:rsidRPr="00863900">
        <w:rPr>
          <w:rFonts w:ascii="Times New Roman" w:hAnsi="Times New Roman"/>
        </w:rPr>
        <w:t xml:space="preserve"> living settings.  DDS currently supports over 1300 individuals in apartment-type settings throughout the state.  </w:t>
      </w:r>
      <w:r w:rsidR="00A21BFF" w:rsidRPr="00863900">
        <w:rPr>
          <w:rFonts w:ascii="Times New Roman" w:hAnsi="Times New Roman"/>
        </w:rPr>
        <w:t>Typically,</w:t>
      </w:r>
      <w:r w:rsidRPr="00863900">
        <w:rPr>
          <w:rFonts w:ascii="Times New Roman" w:hAnsi="Times New Roman"/>
        </w:rPr>
        <w:t xml:space="preserve"> DDS has funded rental costs for individuals (</w:t>
      </w:r>
      <w:proofErr w:type="gramStart"/>
      <w:r w:rsidRPr="00863900">
        <w:rPr>
          <w:rFonts w:ascii="Times New Roman" w:hAnsi="Times New Roman"/>
        </w:rPr>
        <w:t>in excess of</w:t>
      </w:r>
      <w:proofErr w:type="gramEnd"/>
      <w:r w:rsidRPr="00863900">
        <w:rPr>
          <w:rFonts w:ascii="Times New Roman" w:hAnsi="Times New Roman"/>
        </w:rPr>
        <w:t xml:space="preserve"> their contribution) through a rental subsidy program managed internally.  Starting in 2013 DDS has had the opportunity to utilize </w:t>
      </w:r>
      <w:proofErr w:type="gramStart"/>
      <w:r w:rsidRPr="00863900">
        <w:rPr>
          <w:rFonts w:ascii="Times New Roman" w:hAnsi="Times New Roman"/>
        </w:rPr>
        <w:t>the RAP</w:t>
      </w:r>
      <w:proofErr w:type="gramEnd"/>
      <w:r w:rsidRPr="00863900">
        <w:rPr>
          <w:rFonts w:ascii="Times New Roman" w:hAnsi="Times New Roman"/>
        </w:rPr>
        <w:t xml:space="preserve"> as a new resource as an alternative to prior practices.  </w:t>
      </w:r>
    </w:p>
    <w:p w14:paraId="3B0ADEA8" w14:textId="77777777" w:rsidR="006F2094" w:rsidRDefault="00076352" w:rsidP="002872A9">
      <w:pPr>
        <w:spacing w:after="200"/>
        <w:jc w:val="both"/>
        <w:rPr>
          <w:rFonts w:ascii="Times New Roman" w:hAnsi="Times New Roman"/>
        </w:rPr>
      </w:pPr>
      <w:r w:rsidRPr="00863900">
        <w:rPr>
          <w:rFonts w:ascii="Times New Roman" w:hAnsi="Times New Roman"/>
        </w:rPr>
        <w:t xml:space="preserve">DDS is committed to serving individuals in the least restrictive and most inclusive settings and believes it is their mission to support lifelong planning to assist individuals to be valued members of their communities.  Common support services </w:t>
      </w:r>
      <w:r w:rsidR="0086328F">
        <w:rPr>
          <w:rFonts w:ascii="Times New Roman" w:hAnsi="Times New Roman"/>
        </w:rPr>
        <w:t xml:space="preserve">that </w:t>
      </w:r>
      <w:r w:rsidRPr="00863900">
        <w:rPr>
          <w:rFonts w:ascii="Times New Roman" w:hAnsi="Times New Roman"/>
        </w:rPr>
        <w:t xml:space="preserve">individuals utilize to gain and maintain skills necessary to live independently include Individualized Home Supports (formerly Supported Living), Health Care Coordination, and Behavioral Management Supports, as well as additional </w:t>
      </w:r>
      <w:r w:rsidR="007C0430" w:rsidRPr="00863900">
        <w:rPr>
          <w:rFonts w:ascii="Times New Roman" w:hAnsi="Times New Roman"/>
        </w:rPr>
        <w:t>support services</w:t>
      </w:r>
      <w:r w:rsidRPr="00863900">
        <w:rPr>
          <w:rFonts w:ascii="Times New Roman" w:hAnsi="Times New Roman"/>
        </w:rPr>
        <w:t>.  The residential support services provided to an individual in a community-based housing setting assist with the acquisition, improvement and /or retention of skills and provide necessary support to achieve personal outcomes that enhance an individual’s ability to live in their community as specified in their Individual Plan.</w:t>
      </w:r>
      <w:r w:rsidRPr="00863900">
        <w:t xml:space="preserve">  </w:t>
      </w:r>
      <w:r w:rsidRPr="00863900">
        <w:rPr>
          <w:rFonts w:ascii="Times New Roman" w:hAnsi="Times New Roman"/>
        </w:rPr>
        <w:t>DDS has secured a Medicaid Waiver from the Centers of Medicare and Medicaid that will allow DDS to bill Medicaid for the services provided to these individuals.</w:t>
      </w:r>
    </w:p>
    <w:p w14:paraId="5F6D498E" w14:textId="77777777" w:rsidR="00171709" w:rsidRDefault="00171709" w:rsidP="002872A9">
      <w:pPr>
        <w:spacing w:after="200"/>
        <w:jc w:val="both"/>
        <w:rPr>
          <w:rFonts w:ascii="Times New Roman" w:hAnsi="Times New Roman"/>
        </w:rPr>
      </w:pPr>
    </w:p>
    <w:p w14:paraId="19D49881" w14:textId="77777777" w:rsidR="00171709" w:rsidRDefault="00171709" w:rsidP="002872A9">
      <w:pPr>
        <w:spacing w:after="200"/>
        <w:jc w:val="both"/>
        <w:rPr>
          <w:rFonts w:ascii="Times New Roman" w:hAnsi="Times New Roman"/>
        </w:rPr>
      </w:pPr>
    </w:p>
    <w:p w14:paraId="5EF2AE87" w14:textId="77777777" w:rsidR="00171709" w:rsidRPr="002872A9" w:rsidRDefault="00171709" w:rsidP="002872A9">
      <w:pPr>
        <w:spacing w:after="200"/>
        <w:jc w:val="both"/>
        <w:rPr>
          <w:rFonts w:ascii="Times New Roman" w:hAnsi="Times New Roman"/>
        </w:rPr>
      </w:pPr>
    </w:p>
    <w:p w14:paraId="2B0CA2FB" w14:textId="77777777" w:rsidR="00076352" w:rsidRDefault="00076352" w:rsidP="00FE47A7">
      <w:pPr>
        <w:jc w:val="center"/>
        <w:rPr>
          <w:rFonts w:ascii="Times New Roman" w:hAnsi="Times New Roman"/>
          <w:b/>
          <w:bCs/>
          <w:sz w:val="32"/>
          <w:szCs w:val="32"/>
          <w:u w:val="single"/>
        </w:rPr>
      </w:pPr>
      <w:r w:rsidRPr="00FE47A7">
        <w:rPr>
          <w:rFonts w:ascii="Times New Roman" w:hAnsi="Times New Roman"/>
          <w:b/>
          <w:bCs/>
          <w:sz w:val="32"/>
          <w:szCs w:val="32"/>
          <w:u w:val="single"/>
        </w:rPr>
        <w:lastRenderedPageBreak/>
        <w:t>Department of Housing and Department of Mental Health and Addiction Services Housing Collaborative</w:t>
      </w:r>
    </w:p>
    <w:p w14:paraId="4F18A042" w14:textId="77777777" w:rsidR="00FE47A7" w:rsidRPr="00FE47A7" w:rsidRDefault="00FE47A7" w:rsidP="00FE47A7">
      <w:pPr>
        <w:jc w:val="center"/>
        <w:rPr>
          <w:rFonts w:ascii="Times New Roman" w:hAnsi="Times New Roman"/>
          <w:b/>
          <w:bCs/>
          <w:sz w:val="32"/>
          <w:szCs w:val="32"/>
          <w:u w:val="single"/>
        </w:rPr>
      </w:pPr>
    </w:p>
    <w:p w14:paraId="1ED549C2" w14:textId="77777777" w:rsidR="0086328F" w:rsidRPr="00FE47A7" w:rsidRDefault="00076352" w:rsidP="00FE47A7">
      <w:pPr>
        <w:pStyle w:val="Style2"/>
      </w:pPr>
      <w:r w:rsidRPr="00FE47A7">
        <w:t>Permanent Supportive Housing Initiative</w:t>
      </w:r>
      <w:r w:rsidR="00FC74EC" w:rsidRPr="00FE47A7">
        <w:t xml:space="preserve"> (PSHI)</w:t>
      </w:r>
    </w:p>
    <w:p w14:paraId="777B5165" w14:textId="77777777" w:rsidR="00076352" w:rsidRPr="0086328F" w:rsidRDefault="00076352" w:rsidP="0086328F">
      <w:pPr>
        <w:spacing w:after="200"/>
        <w:jc w:val="both"/>
        <w:rPr>
          <w:rFonts w:ascii="Times New Roman" w:hAnsi="Times New Roman"/>
          <w:b/>
          <w:u w:val="single"/>
        </w:rPr>
      </w:pPr>
      <w:r w:rsidRPr="00863900">
        <w:rPr>
          <w:rFonts w:ascii="Times New Roman" w:hAnsi="Times New Roman"/>
        </w:rPr>
        <w:t xml:space="preserve">The Permanent Supportive Housing Initiative is a collaborative effort between DOH and the Department of Mental Health and Addiction Services (DMHAS) to foster the development of long-term solutions to the housing and service needs of families and individuals, coping with psychiatric disabilities and/or chemical dependency </w:t>
      </w:r>
      <w:r w:rsidR="007C0430" w:rsidRPr="00863900">
        <w:rPr>
          <w:rFonts w:ascii="Times New Roman" w:hAnsi="Times New Roman"/>
        </w:rPr>
        <w:t>that</w:t>
      </w:r>
      <w:r w:rsidRPr="00863900">
        <w:rPr>
          <w:rFonts w:ascii="Times New Roman" w:hAnsi="Times New Roman"/>
        </w:rPr>
        <w:t xml:space="preserve"> are facing homelessness. Preventing homelessness among this population is key and is achieved through the leasing of existing scattered site housing and the development of new housing units, both of which are subsidized with RAP certificates. </w:t>
      </w:r>
    </w:p>
    <w:p w14:paraId="50EE7931" w14:textId="255B6C49" w:rsidR="00076352" w:rsidRDefault="00076352" w:rsidP="00AF6B89">
      <w:pPr>
        <w:autoSpaceDE w:val="0"/>
        <w:autoSpaceDN w:val="0"/>
        <w:adjustRightInd w:val="0"/>
        <w:spacing w:after="200"/>
        <w:jc w:val="both"/>
        <w:rPr>
          <w:rFonts w:ascii="Times New Roman" w:hAnsi="Times New Roman"/>
        </w:rPr>
      </w:pPr>
      <w:r w:rsidRPr="00863900">
        <w:rPr>
          <w:rFonts w:ascii="Times New Roman" w:hAnsi="Times New Roman"/>
        </w:rPr>
        <w:t xml:space="preserve">The goal of the </w:t>
      </w:r>
      <w:r w:rsidR="00FC74EC">
        <w:rPr>
          <w:rFonts w:ascii="Times New Roman" w:hAnsi="Times New Roman"/>
        </w:rPr>
        <w:t xml:space="preserve">PSHI </w:t>
      </w:r>
      <w:r w:rsidRPr="00863900">
        <w:rPr>
          <w:rFonts w:ascii="Times New Roman" w:hAnsi="Times New Roman"/>
        </w:rPr>
        <w:t xml:space="preserve">is the creation of affordable housing units within Connecticut that link individuals and families with targeted employment, </w:t>
      </w:r>
      <w:r w:rsidR="00A21BFF" w:rsidRPr="00863900">
        <w:rPr>
          <w:rFonts w:ascii="Times New Roman" w:hAnsi="Times New Roman"/>
        </w:rPr>
        <w:t>housing-based</w:t>
      </w:r>
      <w:r w:rsidRPr="00863900">
        <w:rPr>
          <w:rFonts w:ascii="Times New Roman" w:hAnsi="Times New Roman"/>
        </w:rPr>
        <w:t xml:space="preserve"> case management and support services. DMHAS funds community-based providers to work with eligible individuals to ensure that the </w:t>
      </w:r>
      <w:proofErr w:type="gramStart"/>
      <w:r w:rsidRPr="00863900">
        <w:rPr>
          <w:rFonts w:ascii="Times New Roman" w:hAnsi="Times New Roman"/>
        </w:rPr>
        <w:t>formerly</w:t>
      </w:r>
      <w:proofErr w:type="gramEnd"/>
      <w:r w:rsidRPr="00863900">
        <w:rPr>
          <w:rFonts w:ascii="Times New Roman" w:hAnsi="Times New Roman"/>
        </w:rPr>
        <w:t xml:space="preserve"> homeless individuals have the necessary skills to maintain housing stability.  </w:t>
      </w:r>
      <w:proofErr w:type="gramStart"/>
      <w:r w:rsidRPr="00863900">
        <w:rPr>
          <w:rFonts w:ascii="Times New Roman" w:hAnsi="Times New Roman"/>
        </w:rPr>
        <w:t>Th</w:t>
      </w:r>
      <w:r w:rsidR="00171709">
        <w:rPr>
          <w:rFonts w:ascii="Times New Roman" w:hAnsi="Times New Roman"/>
        </w:rPr>
        <w:t>e</w:t>
      </w:r>
      <w:r w:rsidRPr="00863900">
        <w:rPr>
          <w:rFonts w:ascii="Times New Roman" w:hAnsi="Times New Roman"/>
        </w:rPr>
        <w:t xml:space="preserve"> </w:t>
      </w:r>
      <w:r w:rsidR="00FC74EC">
        <w:rPr>
          <w:rFonts w:ascii="Times New Roman" w:hAnsi="Times New Roman"/>
        </w:rPr>
        <w:t>PSHI</w:t>
      </w:r>
      <w:proofErr w:type="gramEnd"/>
      <w:r w:rsidR="00FC74EC">
        <w:rPr>
          <w:rFonts w:ascii="Times New Roman" w:hAnsi="Times New Roman"/>
        </w:rPr>
        <w:t xml:space="preserve"> </w:t>
      </w:r>
      <w:r w:rsidR="00AE106E">
        <w:rPr>
          <w:rFonts w:ascii="Times New Roman" w:hAnsi="Times New Roman"/>
        </w:rPr>
        <w:t>has provided over 10</w:t>
      </w:r>
      <w:r w:rsidRPr="00863900">
        <w:rPr>
          <w:rFonts w:ascii="Times New Roman" w:hAnsi="Times New Roman"/>
        </w:rPr>
        <w:t>00 dwelling units in the leasing of scattered site a</w:t>
      </w:r>
      <w:r w:rsidR="00AE106E">
        <w:rPr>
          <w:rFonts w:ascii="Times New Roman" w:hAnsi="Times New Roman"/>
        </w:rPr>
        <w:t>partments and has created over 11</w:t>
      </w:r>
      <w:r w:rsidRPr="00863900">
        <w:rPr>
          <w:rFonts w:ascii="Times New Roman" w:hAnsi="Times New Roman"/>
        </w:rPr>
        <w:t xml:space="preserve">00 dwelling units through the development of housing. </w:t>
      </w:r>
      <w:bookmarkStart w:id="0" w:name="topofpage"/>
      <w:bookmarkEnd w:id="0"/>
    </w:p>
    <w:p w14:paraId="67AC1D0C" w14:textId="77777777" w:rsidR="00076352" w:rsidRPr="00FE47A7" w:rsidRDefault="00076352" w:rsidP="00FE47A7">
      <w:pPr>
        <w:pStyle w:val="Style2"/>
      </w:pPr>
      <w:r w:rsidRPr="00FE47A7">
        <w:t>Department of Mental Health and Addiction Service Rental Assistance Program (DRAP)</w:t>
      </w:r>
    </w:p>
    <w:p w14:paraId="50E343CE" w14:textId="77777777" w:rsidR="00AF6B89" w:rsidRPr="00807B4F" w:rsidRDefault="00076352" w:rsidP="0086328F">
      <w:pPr>
        <w:spacing w:after="200"/>
        <w:jc w:val="both"/>
        <w:rPr>
          <w:rFonts w:ascii="Times New Roman" w:hAnsi="Times New Roman"/>
        </w:rPr>
      </w:pPr>
      <w:r w:rsidRPr="00863900">
        <w:rPr>
          <w:rFonts w:ascii="Times New Roman" w:hAnsi="Times New Roman"/>
        </w:rPr>
        <w:t>In 2011</w:t>
      </w:r>
      <w:r w:rsidR="00AF6B89">
        <w:rPr>
          <w:rFonts w:ascii="Times New Roman" w:hAnsi="Times New Roman"/>
        </w:rPr>
        <w:t>,</w:t>
      </w:r>
      <w:r w:rsidRPr="00863900">
        <w:rPr>
          <w:rFonts w:ascii="Times New Roman" w:hAnsi="Times New Roman"/>
        </w:rPr>
        <w:t xml:space="preserve"> DMHAS created its own rental assistance program from existing state funding to assist clients in obtaining supportive housing.  Specifically, 60 rental assistance certificates were allocated to the DMHAS forensics unit to allow individuals in the criminal justice system with a mental health diagnosis and who would be homeless upon release from prison live independently in the community.  The rental subsidy provided the client with affordable housing and the DMHAS forensics unit provided the necessary clinical care and </w:t>
      </w:r>
      <w:r w:rsidR="00A21BFF" w:rsidRPr="00863900">
        <w:rPr>
          <w:rFonts w:ascii="Times New Roman" w:hAnsi="Times New Roman"/>
        </w:rPr>
        <w:t>housing-based</w:t>
      </w:r>
      <w:r w:rsidRPr="00863900">
        <w:rPr>
          <w:rFonts w:ascii="Times New Roman" w:hAnsi="Times New Roman"/>
        </w:rPr>
        <w:t xml:space="preserve"> case management services to allow </w:t>
      </w:r>
      <w:r w:rsidR="006E6C06" w:rsidRPr="00863900">
        <w:rPr>
          <w:rFonts w:ascii="Times New Roman" w:hAnsi="Times New Roman"/>
        </w:rPr>
        <w:t>these</w:t>
      </w:r>
      <w:r w:rsidRPr="00863900">
        <w:rPr>
          <w:rFonts w:ascii="Times New Roman" w:hAnsi="Times New Roman"/>
        </w:rPr>
        <w:t xml:space="preserve"> clients to successfully re-enter the community.  An additional 50 rental assistance certificates were allocated to the Enhancing Housing Opportunities Program, which allowed tenants living in supportive housing that had achieved stability, to move into housing with less support services. With this transition open units in the supportive housing programs </w:t>
      </w:r>
      <w:proofErr w:type="gramStart"/>
      <w:r w:rsidRPr="00863900">
        <w:rPr>
          <w:rFonts w:ascii="Times New Roman" w:hAnsi="Times New Roman"/>
        </w:rPr>
        <w:t>are able to</w:t>
      </w:r>
      <w:proofErr w:type="gramEnd"/>
      <w:r w:rsidRPr="00863900">
        <w:rPr>
          <w:rFonts w:ascii="Times New Roman" w:hAnsi="Times New Roman"/>
        </w:rPr>
        <w:t xml:space="preserve"> assist new homeless individuals.  These 110 rental certificates were transferred to</w:t>
      </w:r>
      <w:r w:rsidR="00807B4F">
        <w:rPr>
          <w:rFonts w:ascii="Times New Roman" w:hAnsi="Times New Roman"/>
        </w:rPr>
        <w:t xml:space="preserve"> DOH with its creation in 2013.</w:t>
      </w:r>
    </w:p>
    <w:p w14:paraId="39AD05A3" w14:textId="77777777" w:rsidR="00AF6B89" w:rsidRPr="00FE47A7" w:rsidRDefault="00AE106E" w:rsidP="00FE47A7">
      <w:pPr>
        <w:pStyle w:val="Style2"/>
      </w:pPr>
      <w:r w:rsidRPr="00FE47A7">
        <w:t>Connecticut Collaborative on Re-entry (formerly FUSE)</w:t>
      </w:r>
    </w:p>
    <w:p w14:paraId="3DBE02DA" w14:textId="77777777" w:rsidR="00076352" w:rsidRDefault="00076352" w:rsidP="00AF6B89">
      <w:pPr>
        <w:spacing w:after="200"/>
        <w:jc w:val="both"/>
        <w:rPr>
          <w:rFonts w:ascii="Times New Roman" w:eastAsia="Times New Roman" w:hAnsi="Times New Roman"/>
        </w:rPr>
      </w:pPr>
      <w:r w:rsidRPr="00863900">
        <w:rPr>
          <w:rFonts w:ascii="Times New Roman" w:eastAsia="Times New Roman" w:hAnsi="Times New Roman"/>
        </w:rPr>
        <w:t xml:space="preserve">The </w:t>
      </w:r>
      <w:r w:rsidR="00AE106E">
        <w:rPr>
          <w:rFonts w:ascii="Times New Roman" w:eastAsia="Times New Roman" w:hAnsi="Times New Roman"/>
        </w:rPr>
        <w:t xml:space="preserve">Connecticut Collaborative on Re-entry (CCR) </w:t>
      </w:r>
      <w:r w:rsidRPr="00863900">
        <w:rPr>
          <w:rFonts w:ascii="Times New Roman" w:eastAsia="Times New Roman" w:hAnsi="Times New Roman"/>
        </w:rPr>
        <w:t>Program</w:t>
      </w:r>
      <w:r w:rsidRPr="00863900">
        <w:rPr>
          <w:rFonts w:ascii="Times New Roman" w:eastAsia="Times New Roman" w:hAnsi="Times New Roman"/>
          <w:i/>
        </w:rPr>
        <w:t xml:space="preserve"> </w:t>
      </w:r>
      <w:r w:rsidR="00BF5C43">
        <w:rPr>
          <w:rFonts w:ascii="Times New Roman" w:eastAsia="Times New Roman" w:hAnsi="Times New Roman"/>
        </w:rPr>
        <w:t xml:space="preserve">is a </w:t>
      </w:r>
      <w:r w:rsidRPr="00863900">
        <w:rPr>
          <w:rFonts w:ascii="Times New Roman" w:eastAsia="Times New Roman" w:hAnsi="Times New Roman"/>
        </w:rPr>
        <w:t xml:space="preserve">permanent supportive housing program that identifies and assists individuals who cycle through the homeless service and corrections systems in the state’s largest urban centers—Bridgeport, Hartford, New Haven, New London/Norwich and Waterbury.  The Connecticut Department of Correction (DOC) and Judicial Branch’s Court Support Services Division (CSSD), in partnership with DMHAS, DOH, the Corporation for Supportive Housing (CSH), and the Connecticut Coalition to End Homelessness (CCEH), provide technical assistance, staff support and financial assistance, including support services funding from DMHAS and RAP certificates from DOH, for this project.  The DMHAS services funding </w:t>
      </w:r>
      <w:r w:rsidR="006E6C06" w:rsidRPr="00863900">
        <w:rPr>
          <w:rFonts w:ascii="Times New Roman" w:eastAsia="Times New Roman" w:hAnsi="Times New Roman"/>
        </w:rPr>
        <w:t>provides</w:t>
      </w:r>
      <w:r w:rsidRPr="00863900">
        <w:rPr>
          <w:rFonts w:ascii="Times New Roman" w:eastAsia="Times New Roman" w:hAnsi="Times New Roman"/>
        </w:rPr>
        <w:t xml:space="preserve"> the staffing capacity needed to ensure timely and effective case management as the </w:t>
      </w:r>
      <w:r w:rsidR="00A21BFF" w:rsidRPr="00863900">
        <w:rPr>
          <w:rFonts w:ascii="Times New Roman" w:eastAsia="Times New Roman" w:hAnsi="Times New Roman"/>
        </w:rPr>
        <w:t>newly housed</w:t>
      </w:r>
      <w:r w:rsidRPr="00863900">
        <w:rPr>
          <w:rFonts w:ascii="Times New Roman" w:eastAsia="Times New Roman" w:hAnsi="Times New Roman"/>
        </w:rPr>
        <w:t xml:space="preserve"> tenants stabilize and establish ties to treatment and other community resources. The case management services provide much-needed outreach and engagement services to facilitate the successful transition from the shelters and/or jails/prisons to community living.  In addition, given the critical role of income and employment for recovery and quality of life, a particular focus of this program is on the employment/income outcomes for all participants.</w:t>
      </w:r>
    </w:p>
    <w:p w14:paraId="3D80275C" w14:textId="77777777" w:rsidR="00076352" w:rsidRDefault="00076352" w:rsidP="00FE47A7">
      <w:pPr>
        <w:jc w:val="center"/>
        <w:rPr>
          <w:rFonts w:ascii="Times New Roman" w:hAnsi="Times New Roman"/>
          <w:b/>
          <w:bCs/>
          <w:sz w:val="32"/>
          <w:szCs w:val="32"/>
          <w:u w:val="single"/>
        </w:rPr>
      </w:pPr>
      <w:r w:rsidRPr="00FE47A7">
        <w:rPr>
          <w:rFonts w:ascii="Times New Roman" w:hAnsi="Times New Roman"/>
          <w:b/>
          <w:bCs/>
          <w:sz w:val="32"/>
          <w:szCs w:val="32"/>
          <w:u w:val="single"/>
        </w:rPr>
        <w:lastRenderedPageBreak/>
        <w:t>Department of Housing and Department of Social Services Housing Collaborative</w:t>
      </w:r>
    </w:p>
    <w:p w14:paraId="3D4EDD08" w14:textId="77777777" w:rsidR="00FE47A7" w:rsidRPr="00FE47A7" w:rsidRDefault="00FE47A7" w:rsidP="00FE47A7">
      <w:pPr>
        <w:jc w:val="center"/>
        <w:rPr>
          <w:rFonts w:ascii="Times New Roman" w:hAnsi="Times New Roman"/>
          <w:b/>
          <w:bCs/>
          <w:sz w:val="32"/>
          <w:szCs w:val="32"/>
          <w:u w:val="single"/>
        </w:rPr>
      </w:pPr>
    </w:p>
    <w:p w14:paraId="7872B6CE" w14:textId="77777777" w:rsidR="00076352" w:rsidRPr="00FE47A7" w:rsidRDefault="00076352" w:rsidP="00FE47A7">
      <w:pPr>
        <w:pStyle w:val="Style2"/>
      </w:pPr>
      <w:r w:rsidRPr="00FE47A7">
        <w:t>Money Follows the Person (MFP)</w:t>
      </w:r>
    </w:p>
    <w:p w14:paraId="09257EC8" w14:textId="77777777" w:rsidR="00076352" w:rsidRDefault="00076352" w:rsidP="00AF6B89">
      <w:pPr>
        <w:jc w:val="both"/>
        <w:rPr>
          <w:rFonts w:ascii="Times New Roman" w:eastAsia="Times New Roman" w:hAnsi="Times New Roman"/>
        </w:rPr>
      </w:pPr>
      <w:r w:rsidRPr="00863900">
        <w:rPr>
          <w:rFonts w:ascii="Times New Roman" w:eastAsia="Times New Roman" w:hAnsi="Times New Roman"/>
        </w:rPr>
        <w:t>Money Follows the Person (MFP) is a Federal Demonstration program funded by the Centers for Medicare and Medicaid Services</w:t>
      </w:r>
      <w:r w:rsidR="006E6C06">
        <w:rPr>
          <w:rFonts w:ascii="Times New Roman" w:eastAsia="Times New Roman" w:hAnsi="Times New Roman"/>
        </w:rPr>
        <w:t xml:space="preserve"> </w:t>
      </w:r>
      <w:r w:rsidRPr="00863900">
        <w:rPr>
          <w:rFonts w:ascii="Times New Roman" w:eastAsia="Times New Roman" w:hAnsi="Times New Roman"/>
        </w:rPr>
        <w:t>designed to help states rebalance their long-term care systems by assisting individuals to transition from living in institutional settings to community living.  The program provides service funding for elderly and disabled individuals, including those with mental health disorders or developmental disabilities to live independently in the community. To be eligible a person must (1) have been institutionalized for at least six months and (2) meet Medicaid eligibility criteria. In addition, it cannot cost more to care for the person in the community than in an institution. The appropriate state agency (Department of Developmental Disabilities for individuals with developmental disabilities, Department of Mental Health and Addiction Services for individuals with mental health disorders and Department of Social Services for the elderly) ha</w:t>
      </w:r>
      <w:r w:rsidR="00BF5C43">
        <w:rPr>
          <w:rFonts w:ascii="Times New Roman" w:eastAsia="Times New Roman" w:hAnsi="Times New Roman"/>
        </w:rPr>
        <w:t>s case workers that assess the</w:t>
      </w:r>
      <w:r w:rsidRPr="00863900">
        <w:rPr>
          <w:rFonts w:ascii="Times New Roman" w:eastAsia="Times New Roman" w:hAnsi="Times New Roman"/>
        </w:rPr>
        <w:t xml:space="preserve"> service needs and develop a care plan for the individual, as well as assist the individual </w:t>
      </w:r>
      <w:r w:rsidR="007C0430" w:rsidRPr="00863900">
        <w:rPr>
          <w:rFonts w:ascii="Times New Roman" w:eastAsia="Times New Roman" w:hAnsi="Times New Roman"/>
        </w:rPr>
        <w:t>with locating</w:t>
      </w:r>
      <w:r w:rsidRPr="00863900">
        <w:rPr>
          <w:rFonts w:ascii="Times New Roman" w:eastAsia="Times New Roman" w:hAnsi="Times New Roman"/>
        </w:rPr>
        <w:t xml:space="preserve"> housing and services in the community.  DOH provides a RAP certificate to the eligible participant to ensure that the individual has access to affordable, safe, decent and sanitary housing.</w:t>
      </w:r>
      <w:r w:rsidR="00BF5C43">
        <w:rPr>
          <w:rFonts w:ascii="Times New Roman" w:eastAsia="Times New Roman" w:hAnsi="Times New Roman"/>
        </w:rPr>
        <w:t xml:space="preserve"> </w:t>
      </w:r>
      <w:r w:rsidR="00084D5E">
        <w:rPr>
          <w:rFonts w:ascii="Times New Roman" w:eastAsia="Times New Roman" w:hAnsi="Times New Roman"/>
        </w:rPr>
        <w:t xml:space="preserve"> Currently, DOH provides over 13</w:t>
      </w:r>
      <w:r w:rsidRPr="00863900">
        <w:rPr>
          <w:rFonts w:ascii="Times New Roman" w:eastAsia="Times New Roman" w:hAnsi="Times New Roman"/>
        </w:rPr>
        <w:t>00 RAP certificates to MFP eligible individuals and it is expected that this number will continue to rise in the coming years.</w:t>
      </w:r>
    </w:p>
    <w:p w14:paraId="7E7D6B4F" w14:textId="77777777" w:rsidR="002872A9" w:rsidRDefault="002872A9" w:rsidP="00AF6B89">
      <w:pPr>
        <w:jc w:val="both"/>
        <w:rPr>
          <w:rFonts w:ascii="Times New Roman" w:eastAsia="Times New Roman" w:hAnsi="Times New Roman"/>
        </w:rPr>
      </w:pPr>
    </w:p>
    <w:p w14:paraId="2C8ABFCB" w14:textId="77777777" w:rsidR="002872A9" w:rsidRPr="00FE47A7" w:rsidRDefault="00C23214" w:rsidP="00FE47A7">
      <w:pPr>
        <w:pStyle w:val="Style2"/>
      </w:pPr>
      <w:r w:rsidRPr="00FE47A7">
        <w:t>Connecticut Housing Engagement and Support Services Initiative (CHESS)</w:t>
      </w:r>
    </w:p>
    <w:p w14:paraId="61EC9F98" w14:textId="77777777" w:rsidR="00807B4F" w:rsidRPr="00A21BFF" w:rsidRDefault="00C23214" w:rsidP="00171709">
      <w:pPr>
        <w:pStyle w:val="NormalWeb"/>
        <w:spacing w:before="0" w:beforeAutospacing="0"/>
        <w:rPr>
          <w:sz w:val="22"/>
          <w:szCs w:val="22"/>
        </w:rPr>
      </w:pPr>
      <w:r w:rsidRPr="00A21BFF">
        <w:rPr>
          <w:sz w:val="22"/>
          <w:szCs w:val="22"/>
        </w:rPr>
        <w:t xml:space="preserve">An initiative that combines Medicaid health coverage with a range of housing services for state residents struggling with homelessness and chronic health issues.  CHESS will pool the efforts of state agencies and non-profit partners to bring </w:t>
      </w:r>
      <w:r w:rsidRPr="00A21BFF">
        <w:rPr>
          <w:rStyle w:val="Strong"/>
          <w:b w:val="0"/>
          <w:sz w:val="22"/>
          <w:szCs w:val="22"/>
        </w:rPr>
        <w:t xml:space="preserve">coordinated healthcare and housing services to individuals with mental </w:t>
      </w:r>
      <w:proofErr w:type="gramStart"/>
      <w:r w:rsidRPr="00A21BFF">
        <w:rPr>
          <w:rStyle w:val="Strong"/>
          <w:b w:val="0"/>
          <w:sz w:val="22"/>
          <w:szCs w:val="22"/>
        </w:rPr>
        <w:t>health,</w:t>
      </w:r>
      <w:proofErr w:type="gramEnd"/>
      <w:r w:rsidRPr="00A21BFF">
        <w:rPr>
          <w:rStyle w:val="Strong"/>
          <w:b w:val="0"/>
          <w:sz w:val="22"/>
          <w:szCs w:val="22"/>
        </w:rPr>
        <w:t xml:space="preserve"> substance use and other serious health conditions</w:t>
      </w:r>
      <w:r w:rsidRPr="00A21BFF">
        <w:rPr>
          <w:b/>
          <w:sz w:val="22"/>
          <w:szCs w:val="22"/>
        </w:rPr>
        <w:t>.</w:t>
      </w:r>
      <w:r w:rsidRPr="00A21BFF">
        <w:rPr>
          <w:b/>
          <w:color w:val="1F497D"/>
          <w:sz w:val="22"/>
          <w:szCs w:val="22"/>
        </w:rPr>
        <w:t> </w:t>
      </w:r>
    </w:p>
    <w:p w14:paraId="4DB363AF" w14:textId="77777777" w:rsidR="00076352" w:rsidRPr="00FE47A7" w:rsidRDefault="00076352" w:rsidP="00FE47A7">
      <w:pPr>
        <w:pStyle w:val="Style2"/>
      </w:pPr>
      <w:r w:rsidRPr="00FE47A7">
        <w:t>Social Innovation Fund</w:t>
      </w:r>
    </w:p>
    <w:p w14:paraId="135E1E33" w14:textId="77777777" w:rsidR="00076352" w:rsidRPr="00863900" w:rsidRDefault="00076352" w:rsidP="00AF6B89">
      <w:pPr>
        <w:spacing w:after="200"/>
        <w:jc w:val="both"/>
        <w:rPr>
          <w:rFonts w:ascii="Times New Roman" w:hAnsi="Times New Roman"/>
        </w:rPr>
      </w:pPr>
      <w:r w:rsidRPr="00863900">
        <w:rPr>
          <w:rFonts w:ascii="Times New Roman" w:hAnsi="Times New Roman"/>
        </w:rPr>
        <w:t>The Social Innovation Fund (SIF), a program of the Corporation for National and Community Service (CNCS), combines public and private resources to grow promising community-based solutions that have evidence of results in any of three priority areas: economic opportunity, healthy futures, and youth development</w:t>
      </w:r>
      <w:r w:rsidRPr="00863900">
        <w:rPr>
          <w:rFonts w:ascii="Arial" w:hAnsi="Arial" w:cs="Arial"/>
          <w:sz w:val="18"/>
          <w:szCs w:val="18"/>
        </w:rPr>
        <w:t xml:space="preserve">.  </w:t>
      </w:r>
      <w:r w:rsidRPr="00863900">
        <w:rPr>
          <w:rFonts w:ascii="Times New Roman" w:hAnsi="Times New Roman"/>
        </w:rPr>
        <w:t xml:space="preserve">AIDS CT (ACT), in collaboration with the Partnership for Strong Communities has been awarded a SIF grant to fund innovative solutions that link supportive housing and healthcare. The funded project, </w:t>
      </w:r>
      <w:r w:rsidRPr="00863900">
        <w:rPr>
          <w:rFonts w:ascii="Times New Roman" w:hAnsi="Times New Roman"/>
          <w:i/>
        </w:rPr>
        <w:t>Connecticut Integrated Healthcare &amp; Housing Neighborhoods</w:t>
      </w:r>
      <w:r w:rsidRPr="00863900">
        <w:rPr>
          <w:rFonts w:ascii="Times New Roman" w:hAnsi="Times New Roman"/>
        </w:rPr>
        <w:t>, is one of four pilot programs selected to participate in a national effort to demonstrate that the integration of housing, care management and health services is effective in improving health outcomes for the vulnerable men and women caught in a revolving door of hospitals, emergency rooms, detox and other crisis healt</w:t>
      </w:r>
      <w:r w:rsidR="00E774F7">
        <w:rPr>
          <w:rFonts w:ascii="Times New Roman" w:hAnsi="Times New Roman"/>
        </w:rPr>
        <w:t>h services.</w:t>
      </w:r>
    </w:p>
    <w:p w14:paraId="1CB956E2" w14:textId="77777777" w:rsidR="002872A9" w:rsidRDefault="00076352" w:rsidP="002872A9">
      <w:pPr>
        <w:spacing w:after="200"/>
        <w:jc w:val="both"/>
        <w:rPr>
          <w:rFonts w:ascii="Times New Roman" w:hAnsi="Times New Roman"/>
        </w:rPr>
      </w:pPr>
      <w:r w:rsidRPr="00863900">
        <w:rPr>
          <w:rFonts w:ascii="Times New Roman" w:hAnsi="Times New Roman"/>
          <w:i/>
        </w:rPr>
        <w:t>Connecticut Integrated Healthcare &amp; Housing Neighborhoods</w:t>
      </w:r>
      <w:r w:rsidRPr="00863900">
        <w:rPr>
          <w:rFonts w:ascii="Times New Roman" w:hAnsi="Times New Roman"/>
        </w:rPr>
        <w:t xml:space="preserve"> will house and provide patient-centered health care to 160 individuals </w:t>
      </w:r>
      <w:proofErr w:type="gramStart"/>
      <w:r w:rsidRPr="00863900">
        <w:rPr>
          <w:rFonts w:ascii="Times New Roman" w:hAnsi="Times New Roman"/>
        </w:rPr>
        <w:t>in an effort to</w:t>
      </w:r>
      <w:proofErr w:type="gramEnd"/>
      <w:r w:rsidRPr="00863900">
        <w:rPr>
          <w:rFonts w:ascii="Times New Roman" w:hAnsi="Times New Roman"/>
        </w:rPr>
        <w:t xml:space="preserve"> integrate housing, care management and health care to </w:t>
      </w:r>
      <w:proofErr w:type="gramStart"/>
      <w:r w:rsidRPr="00863900">
        <w:rPr>
          <w:rFonts w:ascii="Times New Roman" w:hAnsi="Times New Roman"/>
        </w:rPr>
        <w:t>the improve</w:t>
      </w:r>
      <w:proofErr w:type="gramEnd"/>
      <w:r w:rsidRPr="00863900">
        <w:rPr>
          <w:rFonts w:ascii="Times New Roman" w:hAnsi="Times New Roman"/>
        </w:rPr>
        <w:t xml:space="preserve"> health of individuals while lowering public costs.  Housing will be supported by DOH RAP certificates and will </w:t>
      </w:r>
      <w:proofErr w:type="gramStart"/>
      <w:r w:rsidRPr="00863900">
        <w:rPr>
          <w:rFonts w:ascii="Times New Roman" w:hAnsi="Times New Roman"/>
        </w:rPr>
        <w:t>be located in</w:t>
      </w:r>
      <w:proofErr w:type="gramEnd"/>
      <w:r w:rsidRPr="00863900">
        <w:rPr>
          <w:rFonts w:ascii="Times New Roman" w:hAnsi="Times New Roman"/>
        </w:rPr>
        <w:t xml:space="preserve"> the Bridgeport, Hartford, New Haven and New London metropolitan areas.  This multi-yea</w:t>
      </w:r>
      <w:r w:rsidR="00F0027C">
        <w:rPr>
          <w:rFonts w:ascii="Times New Roman" w:hAnsi="Times New Roman"/>
        </w:rPr>
        <w:t>r pilot is a healthy- home o</w:t>
      </w:r>
      <w:r w:rsidRPr="00863900">
        <w:rPr>
          <w:rFonts w:ascii="Times New Roman" w:hAnsi="Times New Roman"/>
        </w:rPr>
        <w:t>utreach model using assertive outreach and care coordination to link high-cost, high-need clients with primary care, behavioral healthcare and supportive/affordable housing.  The overall project aims to identify and target Medicaid-enrolled high users of health services who are homeless or at risk of homelessness and who have chronic medical conditions, including serious mental illness, substance abuse disorders or other chronic medical conditions.</w:t>
      </w:r>
    </w:p>
    <w:p w14:paraId="194EC5EC" w14:textId="77777777" w:rsidR="00564B86" w:rsidRPr="002872A9" w:rsidRDefault="00564B86" w:rsidP="002872A9">
      <w:pPr>
        <w:spacing w:after="200"/>
        <w:jc w:val="both"/>
        <w:rPr>
          <w:rFonts w:ascii="Times New Roman" w:hAnsi="Times New Roman"/>
        </w:rPr>
      </w:pPr>
    </w:p>
    <w:p w14:paraId="0D46D31A" w14:textId="77777777" w:rsidR="00BF5C43" w:rsidRDefault="00BF5C43" w:rsidP="00FE47A7">
      <w:pPr>
        <w:jc w:val="center"/>
        <w:rPr>
          <w:rFonts w:ascii="Times New Roman" w:hAnsi="Times New Roman"/>
          <w:b/>
          <w:bCs/>
          <w:sz w:val="32"/>
          <w:szCs w:val="32"/>
          <w:u w:val="single"/>
        </w:rPr>
      </w:pPr>
      <w:r w:rsidRPr="00FE47A7">
        <w:rPr>
          <w:rFonts w:ascii="Times New Roman" w:hAnsi="Times New Roman"/>
          <w:b/>
          <w:bCs/>
          <w:sz w:val="32"/>
          <w:szCs w:val="32"/>
          <w:u w:val="single"/>
        </w:rPr>
        <w:lastRenderedPageBreak/>
        <w:t>Department of Housing Initiatives</w:t>
      </w:r>
    </w:p>
    <w:p w14:paraId="578CE9F0" w14:textId="77777777" w:rsidR="00FE47A7" w:rsidRPr="00FE47A7" w:rsidRDefault="00FE47A7" w:rsidP="00FE47A7">
      <w:pPr>
        <w:jc w:val="center"/>
        <w:rPr>
          <w:rFonts w:ascii="Times New Roman" w:hAnsi="Times New Roman"/>
          <w:b/>
          <w:bCs/>
          <w:sz w:val="32"/>
          <w:szCs w:val="32"/>
          <w:u w:val="single"/>
        </w:rPr>
      </w:pPr>
    </w:p>
    <w:p w14:paraId="711D4C5B" w14:textId="77777777" w:rsidR="00BF5C43" w:rsidRPr="00FE47A7" w:rsidRDefault="00BF5C43" w:rsidP="00FE47A7">
      <w:pPr>
        <w:pStyle w:val="Style2"/>
      </w:pPr>
      <w:r w:rsidRPr="00FE47A7">
        <w:t>RAP VASH Program</w:t>
      </w:r>
    </w:p>
    <w:p w14:paraId="0C073CF1" w14:textId="77777777" w:rsidR="00BF5C43" w:rsidRDefault="00BF5C43" w:rsidP="00BF5C43">
      <w:pPr>
        <w:spacing w:after="200"/>
        <w:rPr>
          <w:rFonts w:ascii="Times New Roman" w:hAnsi="Times New Roman"/>
        </w:rPr>
      </w:pPr>
      <w:r>
        <w:rPr>
          <w:rFonts w:ascii="Times New Roman" w:hAnsi="Times New Roman"/>
        </w:rPr>
        <w:t>The Department of Housing expanded upon the federal VASH program described above</w:t>
      </w:r>
      <w:r w:rsidR="00483AEC">
        <w:rPr>
          <w:rFonts w:ascii="Times New Roman" w:hAnsi="Times New Roman"/>
        </w:rPr>
        <w:t xml:space="preserve"> to provide additional supportive housing resources to homeless veterans.  The Department administered 100 RAP VASH vouchers in fiscal year 2016, and when combined with the federal VASH resources and other supportive housing resources Connecticut became the first state to end chronic veteran homelessness and the second state to end all veteran homelessness during fiscal year 16.</w:t>
      </w:r>
    </w:p>
    <w:p w14:paraId="0CB9A306" w14:textId="77777777" w:rsidR="00483AEC" w:rsidRPr="00FE47A7" w:rsidRDefault="00483AEC" w:rsidP="00FE47A7">
      <w:pPr>
        <w:pStyle w:val="Style2"/>
      </w:pPr>
      <w:r w:rsidRPr="00FE47A7">
        <w:t>State Spo</w:t>
      </w:r>
      <w:r w:rsidR="00FC74EC" w:rsidRPr="00FE47A7">
        <w:t>nsored Housing Portfolio RAP (SRAP</w:t>
      </w:r>
      <w:r w:rsidRPr="00FE47A7">
        <w:t>)</w:t>
      </w:r>
    </w:p>
    <w:p w14:paraId="48AFDCDE" w14:textId="77777777" w:rsidR="001B62FF" w:rsidRDefault="00483AEC" w:rsidP="00807B4F">
      <w:pPr>
        <w:spacing w:after="200"/>
        <w:rPr>
          <w:rFonts w:ascii="Times New Roman" w:hAnsi="Times New Roman"/>
        </w:rPr>
      </w:pPr>
      <w:r>
        <w:rPr>
          <w:rFonts w:ascii="Times New Roman" w:hAnsi="Times New Roman"/>
        </w:rPr>
        <w:t xml:space="preserve">Through the State Sponsored Housing Portfolio (SSHP), DOH is allocating </w:t>
      </w:r>
      <w:r w:rsidR="006E6C06">
        <w:rPr>
          <w:rFonts w:ascii="Times New Roman" w:hAnsi="Times New Roman"/>
        </w:rPr>
        <w:t>project-based</w:t>
      </w:r>
      <w:r w:rsidR="00FC74EC">
        <w:rPr>
          <w:rFonts w:ascii="Times New Roman" w:hAnsi="Times New Roman"/>
        </w:rPr>
        <w:t xml:space="preserve"> </w:t>
      </w:r>
      <w:r>
        <w:rPr>
          <w:rFonts w:ascii="Times New Roman" w:hAnsi="Times New Roman"/>
        </w:rPr>
        <w:t>RAP resources to ensure that</w:t>
      </w:r>
      <w:r w:rsidR="00FC74EC">
        <w:rPr>
          <w:rFonts w:ascii="Times New Roman" w:hAnsi="Times New Roman"/>
        </w:rPr>
        <w:t xml:space="preserve"> the SSHP has adequate funding to provide affordable housing to Connecticut households.  The SRAP certificate guarantees affordability to the household residing in the property and as well as providing the </w:t>
      </w:r>
      <w:proofErr w:type="gramStart"/>
      <w:r w:rsidR="00FC74EC">
        <w:rPr>
          <w:rFonts w:ascii="Times New Roman" w:hAnsi="Times New Roman"/>
        </w:rPr>
        <w:t>property</w:t>
      </w:r>
      <w:proofErr w:type="gramEnd"/>
      <w:r w:rsidR="00FC74EC">
        <w:rPr>
          <w:rFonts w:ascii="Times New Roman" w:hAnsi="Times New Roman"/>
        </w:rPr>
        <w:t xml:space="preserve"> enough income to maintain quality standards.</w:t>
      </w:r>
    </w:p>
    <w:p w14:paraId="163A6101" w14:textId="77777777" w:rsidR="00134A48" w:rsidRDefault="00134A48" w:rsidP="00134A48">
      <w:pPr>
        <w:spacing w:after="200" w:line="276" w:lineRule="auto"/>
        <w:rPr>
          <w:rFonts w:ascii="Times New Roman" w:hAnsi="Times New Roman"/>
        </w:rPr>
      </w:pPr>
      <w:r w:rsidRPr="00863900">
        <w:rPr>
          <w:rFonts w:ascii="Times New Roman" w:hAnsi="Times New Roman"/>
        </w:rPr>
        <w:t xml:space="preserve">The chart below identifies individuals served in each program by month in </w:t>
      </w:r>
      <w:r w:rsidR="002872A9">
        <w:rPr>
          <w:rFonts w:ascii="Times New Roman" w:hAnsi="Times New Roman"/>
        </w:rPr>
        <w:t>state fiscal year 202</w:t>
      </w:r>
      <w:r w:rsidR="00F61C37">
        <w:rPr>
          <w:rFonts w:ascii="Times New Roman" w:hAnsi="Times New Roman"/>
        </w:rPr>
        <w:t>4</w:t>
      </w:r>
      <w:r w:rsidRPr="00863900">
        <w:rPr>
          <w:rFonts w:ascii="Times New Roman" w:hAnsi="Times New Roman"/>
        </w:rPr>
        <w:t>.</w:t>
      </w:r>
    </w:p>
    <w:tbl>
      <w:tblPr>
        <w:tblW w:w="9090" w:type="dxa"/>
        <w:tblInd w:w="108" w:type="dxa"/>
        <w:tblLook w:val="04A0" w:firstRow="1" w:lastRow="0" w:firstColumn="1" w:lastColumn="0" w:noHBand="0" w:noVBand="1"/>
      </w:tblPr>
      <w:tblGrid>
        <w:gridCol w:w="9090"/>
      </w:tblGrid>
      <w:tr w:rsidR="00F0483D" w:rsidRPr="00C7705C" w14:paraId="440541D4" w14:textId="77777777" w:rsidTr="00F0483D">
        <w:trPr>
          <w:trHeight w:val="300"/>
        </w:trPr>
        <w:tc>
          <w:tcPr>
            <w:tcW w:w="9090" w:type="dxa"/>
            <w:tcBorders>
              <w:top w:val="single" w:sz="4" w:space="0" w:color="auto"/>
              <w:left w:val="single" w:sz="4" w:space="0" w:color="auto"/>
              <w:bottom w:val="single" w:sz="4" w:space="0" w:color="auto"/>
              <w:right w:val="single" w:sz="4" w:space="0" w:color="auto"/>
            </w:tcBorders>
            <w:noWrap/>
            <w:hideMark/>
          </w:tcPr>
          <w:p w14:paraId="58A81A49" w14:textId="77777777" w:rsidR="00F0483D" w:rsidRPr="00C7705C" w:rsidRDefault="00F0483D" w:rsidP="002872A9">
            <w:pPr>
              <w:jc w:val="center"/>
            </w:pPr>
            <w:r>
              <w:t>RAP Leased SFY2</w:t>
            </w:r>
            <w:r w:rsidR="00F61C37">
              <w:t>4</w:t>
            </w:r>
          </w:p>
        </w:tc>
      </w:tr>
    </w:tbl>
    <w:p w14:paraId="7538C856" w14:textId="1F241144" w:rsidR="00F0483D" w:rsidRDefault="00FE47A7" w:rsidP="00134A48">
      <w:pPr>
        <w:spacing w:after="200"/>
        <w:jc w:val="both"/>
        <w:rPr>
          <w:rFonts w:ascii="Times New Roman" w:hAnsi="Times New Roman"/>
        </w:rPr>
      </w:pPr>
      <w:r w:rsidRPr="00F0483D">
        <w:rPr>
          <w:noProof/>
        </w:rPr>
        <w:drawing>
          <wp:inline distT="0" distB="0" distL="0" distR="0" wp14:anchorId="0D3CABAA" wp14:editId="7CA2A4E6">
            <wp:extent cx="5943600" cy="2047875"/>
            <wp:effectExtent l="0" t="0" r="0" b="0"/>
            <wp:docPr id="1" name="Picture 2" descr="This chart identifies the number of individuals served in each program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his chart identifies the number of individuals served in each program by mon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77D36D66" w14:textId="77777777" w:rsidR="00134A48" w:rsidRPr="00807B4F" w:rsidRDefault="00134A48" w:rsidP="00134A48">
      <w:pPr>
        <w:spacing w:after="200"/>
        <w:jc w:val="both"/>
        <w:rPr>
          <w:rFonts w:ascii="Times New Roman" w:hAnsi="Times New Roman"/>
        </w:rPr>
      </w:pPr>
      <w:r>
        <w:rPr>
          <w:rFonts w:ascii="Times New Roman" w:hAnsi="Times New Roman"/>
        </w:rPr>
        <w:t>The chart below identifies new households enrolled in each program by</w:t>
      </w:r>
      <w:r w:rsidR="002872A9">
        <w:rPr>
          <w:rFonts w:ascii="Times New Roman" w:hAnsi="Times New Roman"/>
        </w:rPr>
        <w:t xml:space="preserve"> month in state fiscal year 202</w:t>
      </w:r>
      <w:r w:rsidR="00F61C37">
        <w:rPr>
          <w:rFonts w:ascii="Times New Roman" w:hAnsi="Times New Roman"/>
        </w:rPr>
        <w:t>4</w:t>
      </w:r>
    </w:p>
    <w:tbl>
      <w:tblPr>
        <w:tblW w:w="9090" w:type="dxa"/>
        <w:tblInd w:w="108" w:type="dxa"/>
        <w:tblLook w:val="04A0" w:firstRow="1" w:lastRow="0" w:firstColumn="1" w:lastColumn="0" w:noHBand="0" w:noVBand="1"/>
      </w:tblPr>
      <w:tblGrid>
        <w:gridCol w:w="9090"/>
      </w:tblGrid>
      <w:tr w:rsidR="00F0483D" w:rsidRPr="00863900" w14:paraId="27BDE384" w14:textId="77777777" w:rsidTr="00F0483D">
        <w:trPr>
          <w:trHeight w:val="300"/>
        </w:trPr>
        <w:tc>
          <w:tcPr>
            <w:tcW w:w="9090" w:type="dxa"/>
            <w:tcBorders>
              <w:top w:val="single" w:sz="4" w:space="0" w:color="auto"/>
              <w:left w:val="single" w:sz="4" w:space="0" w:color="auto"/>
              <w:bottom w:val="single" w:sz="4" w:space="0" w:color="auto"/>
              <w:right w:val="single" w:sz="4" w:space="0" w:color="auto"/>
            </w:tcBorders>
            <w:noWrap/>
            <w:hideMark/>
          </w:tcPr>
          <w:p w14:paraId="0518E961" w14:textId="77777777" w:rsidR="00F0483D" w:rsidRPr="00F720F2" w:rsidRDefault="00F0483D" w:rsidP="002872A9">
            <w:pPr>
              <w:jc w:val="center"/>
            </w:pPr>
            <w:r>
              <w:t>RAP Issued SFY2</w:t>
            </w:r>
            <w:r w:rsidR="00F61C37">
              <w:t>4</w:t>
            </w:r>
          </w:p>
        </w:tc>
      </w:tr>
    </w:tbl>
    <w:p w14:paraId="3ACDF80D" w14:textId="490B84DF" w:rsidR="00076352" w:rsidRPr="00863900" w:rsidRDefault="00FE47A7" w:rsidP="00076352">
      <w:pPr>
        <w:spacing w:after="200" w:line="276" w:lineRule="auto"/>
        <w:rPr>
          <w:rFonts w:ascii="Times New Roman" w:hAnsi="Times New Roman"/>
        </w:rPr>
      </w:pPr>
      <w:bookmarkStart w:id="1" w:name="_Hlk192588307"/>
      <w:r w:rsidRPr="00F0483D">
        <w:rPr>
          <w:noProof/>
        </w:rPr>
        <w:drawing>
          <wp:inline distT="0" distB="0" distL="0" distR="0" wp14:anchorId="6B925E70" wp14:editId="12145663">
            <wp:extent cx="5943600" cy="2209800"/>
            <wp:effectExtent l="0" t="0" r="0" b="0"/>
            <wp:docPr id="2" name="Picture 1" descr="This chart depicts the number of individuals assisted by program per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is chart depicts the number of individuals assisted by program per mon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209800"/>
                    </a:xfrm>
                    <a:prstGeom prst="rect">
                      <a:avLst/>
                    </a:prstGeom>
                    <a:noFill/>
                    <a:ln>
                      <a:noFill/>
                    </a:ln>
                  </pic:spPr>
                </pic:pic>
              </a:graphicData>
            </a:graphic>
          </wp:inline>
        </w:drawing>
      </w:r>
      <w:bookmarkEnd w:id="1"/>
    </w:p>
    <w:p w14:paraId="0AB1CDF0" w14:textId="77777777" w:rsidR="00F165AD" w:rsidRDefault="00076352" w:rsidP="00AF6B89">
      <w:pPr>
        <w:spacing w:after="200"/>
        <w:jc w:val="both"/>
      </w:pPr>
      <w:r w:rsidRPr="00863900">
        <w:rPr>
          <w:rFonts w:ascii="Times New Roman" w:hAnsi="Times New Roman"/>
        </w:rPr>
        <w:lastRenderedPageBreak/>
        <w:t xml:space="preserve">The rental subsidy programs administered by DOH are an effective tool for providing safe, sanitary and decent housing for </w:t>
      </w:r>
      <w:r w:rsidR="00A21BFF" w:rsidRPr="00863900">
        <w:rPr>
          <w:rFonts w:ascii="Times New Roman" w:hAnsi="Times New Roman"/>
        </w:rPr>
        <w:t>low-income</w:t>
      </w:r>
      <w:r w:rsidRPr="00863900">
        <w:rPr>
          <w:rFonts w:ascii="Times New Roman" w:hAnsi="Times New Roman"/>
        </w:rPr>
        <w:t xml:space="preserve"> individuals throughout the state.  In addition, the State Rental Assistance Program (RAP) has proven to be one of the most effective programs for reducing homelessn</w:t>
      </w:r>
      <w:r w:rsidR="009D7E02">
        <w:rPr>
          <w:rFonts w:ascii="Times New Roman" w:hAnsi="Times New Roman"/>
        </w:rPr>
        <w:t>ess and for providing community-</w:t>
      </w:r>
      <w:r w:rsidRPr="00863900">
        <w:rPr>
          <w:rFonts w:ascii="Times New Roman" w:hAnsi="Times New Roman"/>
        </w:rPr>
        <w:t>based living in Connecticut. As a r</w:t>
      </w:r>
      <w:r w:rsidR="00084D5E">
        <w:rPr>
          <w:rFonts w:ascii="Times New Roman" w:hAnsi="Times New Roman"/>
        </w:rPr>
        <w:t>esult of these programs, over 1</w:t>
      </w:r>
      <w:r w:rsidR="00F0483D">
        <w:rPr>
          <w:rFonts w:ascii="Times New Roman" w:hAnsi="Times New Roman"/>
        </w:rPr>
        <w:t>5</w:t>
      </w:r>
      <w:r w:rsidRPr="00863900">
        <w:rPr>
          <w:rFonts w:ascii="Times New Roman" w:hAnsi="Times New Roman"/>
        </w:rPr>
        <w:t xml:space="preserve">,000 state residents have been assisted in locating an affordable living situation.  DOH intends to continue to administer these programs in an efficient manner to be able to provide access to affordable housing to as many </w:t>
      </w:r>
      <w:r w:rsidR="00A21BFF" w:rsidRPr="00863900">
        <w:rPr>
          <w:rFonts w:ascii="Times New Roman" w:hAnsi="Times New Roman"/>
        </w:rPr>
        <w:t>low-income</w:t>
      </w:r>
      <w:r w:rsidRPr="00863900">
        <w:rPr>
          <w:rFonts w:ascii="Times New Roman" w:hAnsi="Times New Roman"/>
        </w:rPr>
        <w:t xml:space="preserve"> individuals as possible</w:t>
      </w:r>
      <w:r>
        <w:rPr>
          <w:rFonts w:ascii="Times New Roman" w:hAnsi="Times New Roman"/>
        </w:rPr>
        <w:t>.</w:t>
      </w:r>
    </w:p>
    <w:sectPr w:rsidR="00F1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52"/>
    <w:rsid w:val="00013B11"/>
    <w:rsid w:val="00076352"/>
    <w:rsid w:val="00084D5E"/>
    <w:rsid w:val="000863DD"/>
    <w:rsid w:val="00102057"/>
    <w:rsid w:val="001177D7"/>
    <w:rsid w:val="00121F19"/>
    <w:rsid w:val="00134A48"/>
    <w:rsid w:val="00140462"/>
    <w:rsid w:val="00171709"/>
    <w:rsid w:val="00173637"/>
    <w:rsid w:val="001A56C9"/>
    <w:rsid w:val="001B62FF"/>
    <w:rsid w:val="001E40EA"/>
    <w:rsid w:val="001E79AB"/>
    <w:rsid w:val="00230ACD"/>
    <w:rsid w:val="002465E3"/>
    <w:rsid w:val="0025233C"/>
    <w:rsid w:val="002658A9"/>
    <w:rsid w:val="002872A9"/>
    <w:rsid w:val="00300D33"/>
    <w:rsid w:val="00325883"/>
    <w:rsid w:val="00362CED"/>
    <w:rsid w:val="00442783"/>
    <w:rsid w:val="00483AEC"/>
    <w:rsid w:val="004C2D31"/>
    <w:rsid w:val="004E5939"/>
    <w:rsid w:val="00523D06"/>
    <w:rsid w:val="00554EAB"/>
    <w:rsid w:val="00564B86"/>
    <w:rsid w:val="005F6990"/>
    <w:rsid w:val="00623C01"/>
    <w:rsid w:val="0062748E"/>
    <w:rsid w:val="006A7F19"/>
    <w:rsid w:val="006B548C"/>
    <w:rsid w:val="006E6C06"/>
    <w:rsid w:val="006F2094"/>
    <w:rsid w:val="006F42F8"/>
    <w:rsid w:val="0072167D"/>
    <w:rsid w:val="00762854"/>
    <w:rsid w:val="007C0430"/>
    <w:rsid w:val="007E5155"/>
    <w:rsid w:val="007F166D"/>
    <w:rsid w:val="00807B4F"/>
    <w:rsid w:val="008450BF"/>
    <w:rsid w:val="00857AE9"/>
    <w:rsid w:val="0086328F"/>
    <w:rsid w:val="00883007"/>
    <w:rsid w:val="008A1F5C"/>
    <w:rsid w:val="008E06FC"/>
    <w:rsid w:val="00973F8F"/>
    <w:rsid w:val="00990824"/>
    <w:rsid w:val="009949C8"/>
    <w:rsid w:val="009D2B1B"/>
    <w:rsid w:val="009D7E02"/>
    <w:rsid w:val="009F6057"/>
    <w:rsid w:val="00A17C3B"/>
    <w:rsid w:val="00A21BFF"/>
    <w:rsid w:val="00A30BC5"/>
    <w:rsid w:val="00AA4094"/>
    <w:rsid w:val="00AE106E"/>
    <w:rsid w:val="00AF6B89"/>
    <w:rsid w:val="00BD2249"/>
    <w:rsid w:val="00BF5C43"/>
    <w:rsid w:val="00C23214"/>
    <w:rsid w:val="00CC60E2"/>
    <w:rsid w:val="00DB2FD7"/>
    <w:rsid w:val="00E774F7"/>
    <w:rsid w:val="00E93578"/>
    <w:rsid w:val="00E96478"/>
    <w:rsid w:val="00F0027C"/>
    <w:rsid w:val="00F0483D"/>
    <w:rsid w:val="00F165AD"/>
    <w:rsid w:val="00F52399"/>
    <w:rsid w:val="00F61C37"/>
    <w:rsid w:val="00FC74EC"/>
    <w:rsid w:val="00FE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236092"/>
  <w15:chartTrackingRefBased/>
  <w15:docId w15:val="{18F058D3-5D3E-45D7-AFD4-43739A28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4F"/>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0BF"/>
    <w:rPr>
      <w:rFonts w:ascii="Segoe UI" w:hAnsi="Segoe UI" w:cs="Segoe UI"/>
      <w:sz w:val="18"/>
      <w:szCs w:val="18"/>
    </w:rPr>
  </w:style>
  <w:style w:type="character" w:customStyle="1" w:styleId="BalloonTextChar">
    <w:name w:val="Balloon Text Char"/>
    <w:link w:val="BalloonText"/>
    <w:uiPriority w:val="99"/>
    <w:semiHidden/>
    <w:rsid w:val="008450BF"/>
    <w:rPr>
      <w:rFonts w:ascii="Segoe UI" w:hAnsi="Segoe UI" w:cs="Segoe UI"/>
      <w:sz w:val="18"/>
      <w:szCs w:val="18"/>
    </w:rPr>
  </w:style>
  <w:style w:type="paragraph" w:styleId="NormalWeb">
    <w:name w:val="Normal (Web)"/>
    <w:basedOn w:val="Normal"/>
    <w:uiPriority w:val="99"/>
    <w:unhideWhenUsed/>
    <w:rsid w:val="00C2321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C23214"/>
    <w:rPr>
      <w:b/>
      <w:bCs/>
    </w:rPr>
  </w:style>
  <w:style w:type="paragraph" w:customStyle="1" w:styleId="Style1">
    <w:name w:val="Style1"/>
    <w:basedOn w:val="Normal"/>
    <w:link w:val="Style1Char"/>
    <w:qFormat/>
    <w:rsid w:val="00FE47A7"/>
    <w:pPr>
      <w:spacing w:after="200" w:line="276" w:lineRule="auto"/>
      <w:jc w:val="center"/>
    </w:pPr>
    <w:rPr>
      <w:rFonts w:ascii="Times New Roman" w:hAnsi="Times New Roman"/>
      <w:b/>
      <w:bCs/>
      <w:sz w:val="32"/>
      <w:szCs w:val="32"/>
      <w:u w:val="single"/>
    </w:rPr>
  </w:style>
  <w:style w:type="character" w:customStyle="1" w:styleId="Style1Char">
    <w:name w:val="Style1 Char"/>
    <w:basedOn w:val="DefaultParagraphFont"/>
    <w:link w:val="Style1"/>
    <w:rsid w:val="00FE47A7"/>
    <w:rPr>
      <w:rFonts w:ascii="Times New Roman" w:hAnsi="Times New Roman"/>
      <w:b/>
      <w:bCs/>
      <w:sz w:val="32"/>
      <w:szCs w:val="32"/>
      <w:u w:val="single"/>
    </w:rPr>
  </w:style>
  <w:style w:type="paragraph" w:customStyle="1" w:styleId="Style2">
    <w:name w:val="Style2"/>
    <w:basedOn w:val="Normal"/>
    <w:link w:val="Style2Char"/>
    <w:qFormat/>
    <w:rsid w:val="00FE47A7"/>
    <w:pPr>
      <w:spacing w:after="200"/>
      <w:jc w:val="both"/>
    </w:pPr>
    <w:rPr>
      <w:rFonts w:ascii="Times New Roman" w:hAnsi="Times New Roman"/>
      <w:b/>
      <w:u w:val="single"/>
    </w:rPr>
  </w:style>
  <w:style w:type="character" w:customStyle="1" w:styleId="Style2Char">
    <w:name w:val="Style2 Char"/>
    <w:basedOn w:val="DefaultParagraphFont"/>
    <w:link w:val="Style2"/>
    <w:rsid w:val="00FE47A7"/>
    <w:rPr>
      <w:rFonts w:ascii="Times New Roman" w:hAnsi="Times New Roman"/>
      <w:b/>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902">
      <w:bodyDiv w:val="1"/>
      <w:marLeft w:val="0"/>
      <w:marRight w:val="0"/>
      <w:marTop w:val="0"/>
      <w:marBottom w:val="0"/>
      <w:divBdr>
        <w:top w:val="none" w:sz="0" w:space="0" w:color="auto"/>
        <w:left w:val="none" w:sz="0" w:space="0" w:color="auto"/>
        <w:bottom w:val="none" w:sz="0" w:space="0" w:color="auto"/>
        <w:right w:val="none" w:sz="0" w:space="0" w:color="auto"/>
      </w:divBdr>
    </w:div>
    <w:div w:id="404107883">
      <w:bodyDiv w:val="1"/>
      <w:marLeft w:val="0"/>
      <w:marRight w:val="0"/>
      <w:marTop w:val="0"/>
      <w:marBottom w:val="0"/>
      <w:divBdr>
        <w:top w:val="none" w:sz="0" w:space="0" w:color="auto"/>
        <w:left w:val="none" w:sz="0" w:space="0" w:color="auto"/>
        <w:bottom w:val="none" w:sz="0" w:space="0" w:color="auto"/>
        <w:right w:val="none" w:sz="0" w:space="0" w:color="auto"/>
      </w:divBdr>
      <w:divsChild>
        <w:div w:id="1427119380">
          <w:marLeft w:val="0"/>
          <w:marRight w:val="0"/>
          <w:marTop w:val="0"/>
          <w:marBottom w:val="0"/>
          <w:divBdr>
            <w:top w:val="none" w:sz="0" w:space="0" w:color="auto"/>
            <w:left w:val="none" w:sz="0" w:space="0" w:color="auto"/>
            <w:bottom w:val="none" w:sz="0" w:space="0" w:color="auto"/>
            <w:right w:val="none" w:sz="0" w:space="0" w:color="auto"/>
          </w:divBdr>
        </w:div>
      </w:divsChild>
    </w:div>
    <w:div w:id="803693594">
      <w:bodyDiv w:val="1"/>
      <w:marLeft w:val="0"/>
      <w:marRight w:val="0"/>
      <w:marTop w:val="0"/>
      <w:marBottom w:val="0"/>
      <w:divBdr>
        <w:top w:val="none" w:sz="0" w:space="0" w:color="auto"/>
        <w:left w:val="none" w:sz="0" w:space="0" w:color="auto"/>
        <w:bottom w:val="none" w:sz="0" w:space="0" w:color="auto"/>
        <w:right w:val="none" w:sz="0" w:space="0" w:color="auto"/>
      </w:divBdr>
    </w:div>
    <w:div w:id="1589726030">
      <w:bodyDiv w:val="1"/>
      <w:marLeft w:val="0"/>
      <w:marRight w:val="0"/>
      <w:marTop w:val="0"/>
      <w:marBottom w:val="0"/>
      <w:divBdr>
        <w:top w:val="none" w:sz="0" w:space="0" w:color="auto"/>
        <w:left w:val="none" w:sz="0" w:space="0" w:color="auto"/>
        <w:bottom w:val="none" w:sz="0" w:space="0" w:color="auto"/>
        <w:right w:val="none" w:sz="0" w:space="0" w:color="auto"/>
      </w:divBdr>
    </w:div>
    <w:div w:id="18828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9DC9E-9570-4721-BA0F-CFE43379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DMHAS</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DiLella, Steve</dc:creator>
  <cp:keywords/>
  <cp:lastModifiedBy>Santoro, Michael C</cp:lastModifiedBy>
  <cp:revision>3</cp:revision>
  <cp:lastPrinted>2016-11-22T19:15:00Z</cp:lastPrinted>
  <dcterms:created xsi:type="dcterms:W3CDTF">2026-04-24T17:21:00Z</dcterms:created>
  <dcterms:modified xsi:type="dcterms:W3CDTF">2026-04-24T17:23:00Z</dcterms:modified>
</cp:coreProperties>
</file>