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5CA3C" w14:textId="77777777" w:rsidR="008E1FF0" w:rsidRDefault="008E1FF0" w:rsidP="008E1FF0">
      <w:pPr>
        <w:ind w:firstLine="720"/>
        <w:jc w:val="center"/>
        <w:rPr>
          <w:b/>
          <w:sz w:val="28"/>
          <w:szCs w:val="28"/>
        </w:rPr>
      </w:pPr>
    </w:p>
    <w:p w14:paraId="4CF5CA3D" w14:textId="77777777" w:rsidR="008E1FF0" w:rsidRDefault="008E1FF0" w:rsidP="008E1FF0">
      <w:pPr>
        <w:ind w:firstLine="720"/>
        <w:jc w:val="center"/>
        <w:rPr>
          <w:b/>
          <w:sz w:val="28"/>
          <w:szCs w:val="28"/>
        </w:rPr>
      </w:pPr>
    </w:p>
    <w:p w14:paraId="4CF5CA3E" w14:textId="77777777" w:rsidR="008E1FF0" w:rsidRDefault="008E1FF0" w:rsidP="008E1FF0">
      <w:pPr>
        <w:ind w:firstLine="720"/>
        <w:jc w:val="center"/>
        <w:rPr>
          <w:b/>
          <w:sz w:val="28"/>
          <w:szCs w:val="28"/>
        </w:rPr>
      </w:pPr>
    </w:p>
    <w:p w14:paraId="4CF5CA3F" w14:textId="77777777" w:rsidR="008E1FF0" w:rsidRDefault="008E1FF0" w:rsidP="008E1FF0">
      <w:pPr>
        <w:ind w:firstLine="720"/>
        <w:jc w:val="center"/>
        <w:rPr>
          <w:b/>
          <w:sz w:val="28"/>
          <w:szCs w:val="28"/>
        </w:rPr>
      </w:pPr>
    </w:p>
    <w:p w14:paraId="4CF5CA40" w14:textId="77777777" w:rsidR="003558D3" w:rsidRDefault="003558D3" w:rsidP="001E6A69">
      <w:pPr>
        <w:jc w:val="center"/>
        <w:rPr>
          <w:b/>
          <w:sz w:val="40"/>
        </w:rPr>
      </w:pPr>
      <w:r w:rsidRPr="00FA22CA">
        <w:rPr>
          <w:b/>
          <w:sz w:val="40"/>
        </w:rPr>
        <w:t>SAMPLE</w:t>
      </w:r>
    </w:p>
    <w:p w14:paraId="4CF5CA41" w14:textId="77777777" w:rsidR="003558D3" w:rsidRDefault="003558D3" w:rsidP="001E6A69">
      <w:pPr>
        <w:jc w:val="center"/>
        <w:rPr>
          <w:b/>
          <w:sz w:val="40"/>
        </w:rPr>
      </w:pPr>
    </w:p>
    <w:p w14:paraId="4CF5CA44" w14:textId="77777777" w:rsidR="003558D3" w:rsidRDefault="003558D3" w:rsidP="001E6A69">
      <w:pPr>
        <w:jc w:val="center"/>
        <w:rPr>
          <w:b/>
          <w:sz w:val="40"/>
        </w:rPr>
      </w:pPr>
    </w:p>
    <w:p w14:paraId="4CF5CA45" w14:textId="77777777" w:rsidR="00FA22CA" w:rsidRDefault="00240454" w:rsidP="001E6A69">
      <w:pPr>
        <w:jc w:val="center"/>
        <w:rPr>
          <w:b/>
          <w:sz w:val="40"/>
          <w:highlight w:val="lightGray"/>
        </w:rPr>
      </w:pPr>
      <w:r>
        <w:rPr>
          <w:b/>
          <w:sz w:val="40"/>
          <w:highlight w:val="lightGray"/>
        </w:rPr>
        <w:t>FOUR-FACTOR ANALYSIS</w:t>
      </w:r>
      <w:r w:rsidR="00FA22CA">
        <w:rPr>
          <w:b/>
          <w:sz w:val="40"/>
          <w:highlight w:val="lightGray"/>
        </w:rPr>
        <w:t xml:space="preserve"> </w:t>
      </w:r>
    </w:p>
    <w:p w14:paraId="4CF5CA48" w14:textId="77777777" w:rsidR="001E6A69" w:rsidRDefault="001E6A69" w:rsidP="001E6A69">
      <w:pPr>
        <w:jc w:val="center"/>
        <w:rPr>
          <w:b/>
          <w:sz w:val="40"/>
        </w:rPr>
      </w:pPr>
      <w:r>
        <w:rPr>
          <w:b/>
          <w:sz w:val="40"/>
        </w:rPr>
        <w:t>FOR LIMITED ENGLISH PROFICIENCY PERSON</w:t>
      </w:r>
      <w:r w:rsidR="003D08C3">
        <w:rPr>
          <w:b/>
          <w:sz w:val="40"/>
        </w:rPr>
        <w:t>S</w:t>
      </w:r>
    </w:p>
    <w:p w14:paraId="4CF5CA49" w14:textId="77777777" w:rsidR="001E6A69" w:rsidRDefault="001E6A69" w:rsidP="001E6A69">
      <w:pPr>
        <w:jc w:val="center"/>
        <w:rPr>
          <w:sz w:val="44"/>
        </w:rPr>
      </w:pPr>
    </w:p>
    <w:p w14:paraId="4CF5CA4A" w14:textId="77777777" w:rsidR="001E6A69" w:rsidRDefault="001E6A69" w:rsidP="001E6A69">
      <w:pPr>
        <w:jc w:val="center"/>
        <w:rPr>
          <w:sz w:val="44"/>
        </w:rPr>
      </w:pPr>
    </w:p>
    <w:p w14:paraId="4CF5CA4B" w14:textId="77777777" w:rsidR="001E6A69" w:rsidRDefault="001E6A69" w:rsidP="001E6A69">
      <w:pPr>
        <w:jc w:val="center"/>
        <w:rPr>
          <w:b/>
          <w:sz w:val="40"/>
        </w:rPr>
      </w:pPr>
      <w:r>
        <w:rPr>
          <w:b/>
          <w:sz w:val="40"/>
        </w:rPr>
        <w:t>COMMUNITY DEVELOPMENT</w:t>
      </w:r>
    </w:p>
    <w:p w14:paraId="4CF5CA4C" w14:textId="77777777" w:rsidR="001E6A69" w:rsidRDefault="001E6A69" w:rsidP="001E6A69">
      <w:pPr>
        <w:jc w:val="center"/>
        <w:rPr>
          <w:b/>
          <w:sz w:val="40"/>
        </w:rPr>
      </w:pPr>
      <w:r>
        <w:rPr>
          <w:b/>
          <w:sz w:val="40"/>
        </w:rPr>
        <w:t>BLOCK GRANT PROGRAM</w:t>
      </w:r>
    </w:p>
    <w:p w14:paraId="4CF5CA4D" w14:textId="77777777" w:rsidR="001E6A69" w:rsidRDefault="001E6A69" w:rsidP="001E6A69">
      <w:pPr>
        <w:jc w:val="center"/>
        <w:rPr>
          <w:sz w:val="44"/>
        </w:rPr>
      </w:pPr>
    </w:p>
    <w:p w14:paraId="4CF5CA4E" w14:textId="77777777" w:rsidR="001E6A69" w:rsidRDefault="003558D3" w:rsidP="00F070B8">
      <w:pPr>
        <w:jc w:val="center"/>
      </w:pPr>
      <w:r w:rsidRPr="003558D3">
        <w:rPr>
          <w:b/>
          <w:sz w:val="40"/>
          <w:highlight w:val="lightGray"/>
        </w:rPr>
        <w:t>COMMUNITY NAME</w:t>
      </w:r>
    </w:p>
    <w:p w14:paraId="4CF5CA4F" w14:textId="77777777" w:rsidR="001E6A69" w:rsidRDefault="001E6A69" w:rsidP="001E6A69"/>
    <w:p w14:paraId="4CF5CA50" w14:textId="77777777" w:rsidR="00BE27EA" w:rsidRPr="00156523" w:rsidRDefault="00BE27EA" w:rsidP="00F070B8">
      <w:pPr>
        <w:rPr>
          <w:sz w:val="22"/>
          <w:szCs w:val="22"/>
        </w:rPr>
      </w:pPr>
      <w:r w:rsidRPr="00156523">
        <w:rPr>
          <w:b/>
          <w:sz w:val="22"/>
          <w:szCs w:val="22"/>
        </w:rPr>
        <w:t>Purpose</w:t>
      </w:r>
      <w:r w:rsidRPr="00156523">
        <w:rPr>
          <w:sz w:val="22"/>
          <w:szCs w:val="22"/>
        </w:rPr>
        <w:t xml:space="preserve">:  In </w:t>
      </w:r>
      <w:r w:rsidR="001F2B1A" w:rsidRPr="00156523">
        <w:rPr>
          <w:sz w:val="22"/>
          <w:szCs w:val="22"/>
        </w:rPr>
        <w:t>c</w:t>
      </w:r>
      <w:r w:rsidRPr="00156523">
        <w:rPr>
          <w:sz w:val="22"/>
          <w:szCs w:val="22"/>
        </w:rPr>
        <w:t>ompliance with Exec</w:t>
      </w:r>
      <w:r w:rsidR="00CE22AD" w:rsidRPr="00156523">
        <w:rPr>
          <w:sz w:val="22"/>
          <w:szCs w:val="22"/>
        </w:rPr>
        <w:t xml:space="preserve">utive Order 13166, </w:t>
      </w:r>
      <w:r w:rsidR="003558D3" w:rsidRPr="00156523">
        <w:rPr>
          <w:sz w:val="22"/>
          <w:szCs w:val="22"/>
          <w:highlight w:val="lightGray"/>
        </w:rPr>
        <w:t>Community Name</w:t>
      </w:r>
      <w:r w:rsidRPr="00156523">
        <w:rPr>
          <w:sz w:val="22"/>
          <w:szCs w:val="22"/>
        </w:rPr>
        <w:t xml:space="preserve"> has developed the following Language A</w:t>
      </w:r>
      <w:r w:rsidR="003D08C3" w:rsidRPr="00156523">
        <w:rPr>
          <w:sz w:val="22"/>
          <w:szCs w:val="22"/>
        </w:rPr>
        <w:t>ccess</w:t>
      </w:r>
      <w:r w:rsidRPr="00156523">
        <w:rPr>
          <w:sz w:val="22"/>
          <w:szCs w:val="22"/>
        </w:rPr>
        <w:t xml:space="preserve"> Plan (LAP) for Limited English Proficiency (LEP) persons.    </w:t>
      </w:r>
    </w:p>
    <w:p w14:paraId="4CF5CA51" w14:textId="77777777" w:rsidR="00BE27EA" w:rsidRPr="00156523" w:rsidRDefault="00BE27EA" w:rsidP="003A51F1">
      <w:pPr>
        <w:ind w:firstLine="720"/>
        <w:rPr>
          <w:sz w:val="22"/>
          <w:szCs w:val="22"/>
        </w:rPr>
      </w:pPr>
    </w:p>
    <w:p w14:paraId="4CF5CA52" w14:textId="77777777" w:rsidR="00185066" w:rsidRPr="00156523" w:rsidRDefault="00185066" w:rsidP="00F070B8">
      <w:pPr>
        <w:rPr>
          <w:sz w:val="22"/>
          <w:szCs w:val="22"/>
        </w:rPr>
      </w:pPr>
      <w:r w:rsidRPr="00156523">
        <w:rPr>
          <w:b/>
          <w:sz w:val="22"/>
          <w:szCs w:val="22"/>
        </w:rPr>
        <w:t>History</w:t>
      </w:r>
      <w:r w:rsidRPr="00156523">
        <w:rPr>
          <w:sz w:val="22"/>
          <w:szCs w:val="22"/>
        </w:rPr>
        <w:t>:</w:t>
      </w:r>
      <w:r w:rsidR="00BE27EA" w:rsidRPr="00156523">
        <w:rPr>
          <w:sz w:val="22"/>
          <w:szCs w:val="22"/>
        </w:rPr>
        <w:t xml:space="preserve">  </w:t>
      </w:r>
      <w:r w:rsidR="00A8627B" w:rsidRPr="00156523">
        <w:rPr>
          <w:sz w:val="22"/>
          <w:szCs w:val="22"/>
        </w:rPr>
        <w:t>T</w:t>
      </w:r>
      <w:r w:rsidR="00BE27EA" w:rsidRPr="00156523">
        <w:rPr>
          <w:sz w:val="22"/>
          <w:szCs w:val="22"/>
        </w:rPr>
        <w:t>itle VI of the Civil Rights Act</w:t>
      </w:r>
      <w:r w:rsidR="009962FF" w:rsidRPr="00156523">
        <w:rPr>
          <w:sz w:val="22"/>
          <w:szCs w:val="22"/>
        </w:rPr>
        <w:t xml:space="preserve"> of 1964 is the federal law which</w:t>
      </w:r>
      <w:r w:rsidR="00BE27EA" w:rsidRPr="00156523">
        <w:rPr>
          <w:sz w:val="22"/>
          <w:szCs w:val="22"/>
        </w:rPr>
        <w:t xml:space="preserve"> protects individuals from discrimination on the basis of their race, color, or nati</w:t>
      </w:r>
      <w:r w:rsidR="009962FF" w:rsidRPr="00156523">
        <w:rPr>
          <w:sz w:val="22"/>
          <w:szCs w:val="22"/>
        </w:rPr>
        <w:t xml:space="preserve">onal origin in programs that </w:t>
      </w:r>
      <w:r w:rsidR="00BE27EA" w:rsidRPr="00156523">
        <w:rPr>
          <w:sz w:val="22"/>
          <w:szCs w:val="22"/>
        </w:rPr>
        <w:t xml:space="preserve">receive federal financial assistance.  In certain situations, failure to ensure </w:t>
      </w:r>
      <w:r w:rsidR="001F2B1A" w:rsidRPr="00156523">
        <w:rPr>
          <w:sz w:val="22"/>
          <w:szCs w:val="22"/>
        </w:rPr>
        <w:t xml:space="preserve">that </w:t>
      </w:r>
      <w:r w:rsidR="00BE27EA" w:rsidRPr="00156523">
        <w:rPr>
          <w:sz w:val="22"/>
          <w:szCs w:val="22"/>
        </w:rPr>
        <w:t xml:space="preserve">persons who </w:t>
      </w:r>
      <w:r w:rsidR="003D08C3" w:rsidRPr="00156523">
        <w:rPr>
          <w:sz w:val="22"/>
          <w:szCs w:val="22"/>
        </w:rPr>
        <w:t>have limited English proficiency</w:t>
      </w:r>
      <w:r w:rsidR="00BE27EA" w:rsidRPr="00156523">
        <w:rPr>
          <w:sz w:val="22"/>
          <w:szCs w:val="22"/>
        </w:rPr>
        <w:t xml:space="preserve"> can effectively participate in, or benefit fro</w:t>
      </w:r>
      <w:r w:rsidR="0091183A" w:rsidRPr="00156523">
        <w:rPr>
          <w:sz w:val="22"/>
          <w:szCs w:val="22"/>
        </w:rPr>
        <w:t xml:space="preserve">m, federally assisted programs </w:t>
      </w:r>
      <w:r w:rsidR="00BE27EA" w:rsidRPr="00156523">
        <w:rPr>
          <w:sz w:val="22"/>
          <w:szCs w:val="22"/>
        </w:rPr>
        <w:t>m</w:t>
      </w:r>
      <w:r w:rsidR="0091183A" w:rsidRPr="00156523">
        <w:rPr>
          <w:sz w:val="22"/>
          <w:szCs w:val="22"/>
        </w:rPr>
        <w:t>a</w:t>
      </w:r>
      <w:r w:rsidR="00BE27EA" w:rsidRPr="00156523">
        <w:rPr>
          <w:sz w:val="22"/>
          <w:szCs w:val="22"/>
        </w:rPr>
        <w:t xml:space="preserve">y violate Title VI’s prohibition </w:t>
      </w:r>
      <w:r w:rsidR="0091183A" w:rsidRPr="00156523">
        <w:rPr>
          <w:sz w:val="22"/>
          <w:szCs w:val="22"/>
        </w:rPr>
        <w:t>against national origin discrimination.</w:t>
      </w:r>
    </w:p>
    <w:p w14:paraId="4CF5CA53" w14:textId="77777777" w:rsidR="00185066" w:rsidRPr="00156523" w:rsidRDefault="00185066" w:rsidP="003A51F1">
      <w:pPr>
        <w:ind w:firstLine="720"/>
        <w:rPr>
          <w:sz w:val="22"/>
          <w:szCs w:val="22"/>
        </w:rPr>
      </w:pPr>
    </w:p>
    <w:p w14:paraId="4CF5CA54" w14:textId="77777777" w:rsidR="00BE27EA" w:rsidRPr="00156523" w:rsidRDefault="003D08C3" w:rsidP="00F070B8">
      <w:pPr>
        <w:rPr>
          <w:sz w:val="22"/>
          <w:szCs w:val="22"/>
        </w:rPr>
      </w:pPr>
      <w:r w:rsidRPr="00156523">
        <w:rPr>
          <w:sz w:val="22"/>
          <w:szCs w:val="22"/>
        </w:rPr>
        <w:t xml:space="preserve">Persons who, as a result of national origin, do not speak English as their primary language and who have limited ability to speak, read, write, or understand English may be entitled to language assistance under Title VI </w:t>
      </w:r>
      <w:r w:rsidR="001F2B1A" w:rsidRPr="00156523">
        <w:rPr>
          <w:sz w:val="22"/>
          <w:szCs w:val="22"/>
        </w:rPr>
        <w:t xml:space="preserve">in order </w:t>
      </w:r>
      <w:r w:rsidRPr="00156523">
        <w:rPr>
          <w:sz w:val="22"/>
          <w:szCs w:val="22"/>
        </w:rPr>
        <w:t>to receive a particular service, benefit, or encounter.</w:t>
      </w:r>
    </w:p>
    <w:p w14:paraId="4CF5CA55" w14:textId="77777777" w:rsidR="00BE27EA" w:rsidRPr="00156523" w:rsidRDefault="00BE27EA" w:rsidP="003A51F1">
      <w:pPr>
        <w:ind w:firstLine="720"/>
        <w:rPr>
          <w:sz w:val="22"/>
          <w:szCs w:val="22"/>
        </w:rPr>
      </w:pPr>
    </w:p>
    <w:p w14:paraId="7633C391" w14:textId="77777777" w:rsidR="00644874" w:rsidRDefault="00644874" w:rsidP="00F070B8">
      <w:pPr>
        <w:rPr>
          <w:b/>
          <w:sz w:val="22"/>
          <w:szCs w:val="22"/>
          <w:highlight w:val="lightGray"/>
        </w:rPr>
      </w:pPr>
    </w:p>
    <w:p w14:paraId="1DDB7AE7" w14:textId="77777777" w:rsidR="00644874" w:rsidRDefault="00644874" w:rsidP="00F070B8">
      <w:pPr>
        <w:rPr>
          <w:b/>
          <w:sz w:val="22"/>
          <w:szCs w:val="22"/>
          <w:highlight w:val="lightGray"/>
        </w:rPr>
      </w:pPr>
    </w:p>
    <w:p w14:paraId="04CDA7CD" w14:textId="77777777" w:rsidR="00644874" w:rsidRDefault="00644874" w:rsidP="00F070B8">
      <w:pPr>
        <w:rPr>
          <w:b/>
          <w:sz w:val="22"/>
          <w:szCs w:val="22"/>
          <w:highlight w:val="lightGray"/>
        </w:rPr>
      </w:pPr>
    </w:p>
    <w:p w14:paraId="212E7C56" w14:textId="77777777" w:rsidR="00644874" w:rsidRDefault="00644874" w:rsidP="00F070B8">
      <w:pPr>
        <w:rPr>
          <w:b/>
          <w:sz w:val="22"/>
          <w:szCs w:val="22"/>
          <w:highlight w:val="lightGray"/>
        </w:rPr>
      </w:pPr>
    </w:p>
    <w:p w14:paraId="24FF44C8" w14:textId="77777777" w:rsidR="00644874" w:rsidRDefault="00644874" w:rsidP="00F070B8">
      <w:pPr>
        <w:rPr>
          <w:b/>
          <w:sz w:val="22"/>
          <w:szCs w:val="22"/>
          <w:highlight w:val="lightGray"/>
        </w:rPr>
      </w:pPr>
    </w:p>
    <w:p w14:paraId="1D969B9A" w14:textId="77777777" w:rsidR="00644874" w:rsidRDefault="00644874" w:rsidP="00F070B8">
      <w:pPr>
        <w:rPr>
          <w:b/>
          <w:sz w:val="22"/>
          <w:szCs w:val="22"/>
          <w:highlight w:val="lightGray"/>
        </w:rPr>
      </w:pPr>
    </w:p>
    <w:p w14:paraId="5BE40A66" w14:textId="77777777" w:rsidR="00644874" w:rsidRDefault="00644874" w:rsidP="00F070B8">
      <w:pPr>
        <w:rPr>
          <w:b/>
          <w:sz w:val="22"/>
          <w:szCs w:val="22"/>
          <w:highlight w:val="lightGray"/>
        </w:rPr>
      </w:pPr>
    </w:p>
    <w:p w14:paraId="4CF5CA56" w14:textId="35DC34D8" w:rsidR="00185066" w:rsidRPr="00156523" w:rsidRDefault="003558D3" w:rsidP="00F070B8">
      <w:pPr>
        <w:rPr>
          <w:sz w:val="22"/>
          <w:szCs w:val="22"/>
        </w:rPr>
      </w:pPr>
      <w:r w:rsidRPr="00156523">
        <w:rPr>
          <w:b/>
          <w:sz w:val="22"/>
          <w:szCs w:val="22"/>
          <w:highlight w:val="lightGray"/>
        </w:rPr>
        <w:lastRenderedPageBreak/>
        <w:t>Community Name</w:t>
      </w:r>
      <w:r w:rsidR="00F13DA5" w:rsidRPr="00156523">
        <w:rPr>
          <w:b/>
          <w:sz w:val="22"/>
          <w:szCs w:val="22"/>
        </w:rPr>
        <w:t xml:space="preserve"> </w:t>
      </w:r>
      <w:r w:rsidR="00240454" w:rsidRPr="00156523">
        <w:rPr>
          <w:b/>
          <w:sz w:val="22"/>
          <w:szCs w:val="22"/>
        </w:rPr>
        <w:t>Four-Factor Analysis</w:t>
      </w:r>
      <w:r w:rsidR="00185066" w:rsidRPr="00156523">
        <w:rPr>
          <w:sz w:val="22"/>
          <w:szCs w:val="22"/>
        </w:rPr>
        <w:t>:</w:t>
      </w:r>
      <w:r w:rsidR="007E2302" w:rsidRPr="00156523">
        <w:rPr>
          <w:sz w:val="22"/>
          <w:szCs w:val="22"/>
        </w:rPr>
        <w:t xml:space="preserve">  The following </w:t>
      </w:r>
      <w:r w:rsidR="00240454" w:rsidRPr="00156523">
        <w:rPr>
          <w:sz w:val="22"/>
          <w:szCs w:val="22"/>
        </w:rPr>
        <w:t>Four-Factor Analysis</w:t>
      </w:r>
      <w:r w:rsidR="007E2302" w:rsidRPr="00156523">
        <w:rPr>
          <w:sz w:val="22"/>
          <w:szCs w:val="22"/>
        </w:rPr>
        <w:t xml:space="preserve"> will serve as the guide for determining which language assistance measures the </w:t>
      </w:r>
      <w:r w:rsidRPr="00156523">
        <w:rPr>
          <w:sz w:val="22"/>
          <w:szCs w:val="22"/>
          <w:highlight w:val="lightGray"/>
        </w:rPr>
        <w:t>Community Name</w:t>
      </w:r>
      <w:r w:rsidR="007E2302" w:rsidRPr="00156523">
        <w:rPr>
          <w:sz w:val="22"/>
          <w:szCs w:val="22"/>
        </w:rPr>
        <w:t xml:space="preserve"> will undertake to guarantee access to the </w:t>
      </w:r>
      <w:r w:rsidRPr="00156523">
        <w:rPr>
          <w:sz w:val="22"/>
          <w:szCs w:val="22"/>
          <w:highlight w:val="lightGray"/>
        </w:rPr>
        <w:t>Community Name</w:t>
      </w:r>
      <w:r w:rsidR="007E2302" w:rsidRPr="00156523">
        <w:rPr>
          <w:sz w:val="22"/>
          <w:szCs w:val="22"/>
        </w:rPr>
        <w:t xml:space="preserve"> Community Development Block Grant (CDBG) programs by LEP persons.  </w:t>
      </w:r>
    </w:p>
    <w:p w14:paraId="4CF5CA57" w14:textId="77777777" w:rsidR="003558D3" w:rsidRPr="00156523" w:rsidRDefault="003558D3" w:rsidP="003A51F1">
      <w:pPr>
        <w:ind w:firstLine="720"/>
        <w:rPr>
          <w:sz w:val="22"/>
          <w:szCs w:val="22"/>
        </w:rPr>
      </w:pPr>
    </w:p>
    <w:p w14:paraId="4CF5CA58" w14:textId="77777777" w:rsidR="00C11846" w:rsidRPr="00156523" w:rsidRDefault="00185066" w:rsidP="003667D2">
      <w:pPr>
        <w:numPr>
          <w:ilvl w:val="0"/>
          <w:numId w:val="1"/>
        </w:numPr>
        <w:tabs>
          <w:tab w:val="clear" w:pos="1080"/>
          <w:tab w:val="num" w:pos="720"/>
        </w:tabs>
        <w:ind w:left="720"/>
        <w:rPr>
          <w:sz w:val="22"/>
          <w:szCs w:val="22"/>
        </w:rPr>
      </w:pPr>
      <w:r w:rsidRPr="00156523">
        <w:rPr>
          <w:sz w:val="22"/>
          <w:szCs w:val="22"/>
        </w:rPr>
        <w:t xml:space="preserve">Number or proportion of LEP persons </w:t>
      </w:r>
      <w:r w:rsidR="00BE27EA" w:rsidRPr="00156523">
        <w:rPr>
          <w:sz w:val="22"/>
          <w:szCs w:val="22"/>
        </w:rPr>
        <w:t>served or encountered in the eligible service population (served or encountered includes those persons who would be served by the recipient if the person received education and outreach and the recipient provided sufficient language services).</w:t>
      </w:r>
      <w:r w:rsidR="003558D3" w:rsidRPr="00156523">
        <w:rPr>
          <w:sz w:val="22"/>
          <w:szCs w:val="22"/>
        </w:rPr>
        <w:t xml:space="preserve">  </w:t>
      </w:r>
    </w:p>
    <w:p w14:paraId="4CF5CA59" w14:textId="77777777" w:rsidR="00C11846" w:rsidRPr="00156523" w:rsidRDefault="00C11846" w:rsidP="00C11846">
      <w:pPr>
        <w:ind w:left="720"/>
        <w:rPr>
          <w:sz w:val="22"/>
          <w:szCs w:val="22"/>
        </w:rPr>
      </w:pPr>
    </w:p>
    <w:p w14:paraId="4CF5CA5A" w14:textId="77777777" w:rsidR="00BE27EA" w:rsidRPr="00156523" w:rsidRDefault="003558D3" w:rsidP="00C11846">
      <w:pPr>
        <w:ind w:left="720"/>
        <w:rPr>
          <w:color w:val="FF6600"/>
          <w:sz w:val="22"/>
          <w:szCs w:val="22"/>
        </w:rPr>
      </w:pPr>
      <w:r w:rsidRPr="00156523">
        <w:rPr>
          <w:color w:val="FF6600"/>
          <w:sz w:val="22"/>
          <w:szCs w:val="22"/>
        </w:rPr>
        <w:t>Select the paragraph(s) below that best describe your methodology.  Delete the other paragraph</w:t>
      </w:r>
      <w:r w:rsidR="00FA22CA" w:rsidRPr="00156523">
        <w:rPr>
          <w:color w:val="FF6600"/>
          <w:sz w:val="22"/>
          <w:szCs w:val="22"/>
        </w:rPr>
        <w:t>(</w:t>
      </w:r>
      <w:r w:rsidRPr="00156523">
        <w:rPr>
          <w:color w:val="FF6600"/>
          <w:sz w:val="22"/>
          <w:szCs w:val="22"/>
        </w:rPr>
        <w:t>s</w:t>
      </w:r>
      <w:r w:rsidR="00FA22CA" w:rsidRPr="00156523">
        <w:rPr>
          <w:color w:val="FF6600"/>
          <w:sz w:val="22"/>
          <w:szCs w:val="22"/>
        </w:rPr>
        <w:t>)</w:t>
      </w:r>
      <w:r w:rsidRPr="00156523">
        <w:rPr>
          <w:color w:val="FF6600"/>
          <w:sz w:val="22"/>
          <w:szCs w:val="22"/>
        </w:rPr>
        <w:t>.  These paragraphs may be modified or replaced</w:t>
      </w:r>
      <w:r w:rsidR="00C11846" w:rsidRPr="00156523">
        <w:rPr>
          <w:color w:val="FF6600"/>
          <w:sz w:val="22"/>
          <w:szCs w:val="22"/>
        </w:rPr>
        <w:t xml:space="preserve"> with narrative that more accurately refle</w:t>
      </w:r>
      <w:r w:rsidR="00FA22CA" w:rsidRPr="00156523">
        <w:rPr>
          <w:color w:val="FF6600"/>
          <w:sz w:val="22"/>
          <w:szCs w:val="22"/>
        </w:rPr>
        <w:t xml:space="preserve">cts the community’s methodology.  </w:t>
      </w:r>
      <w:r w:rsidR="001F2B1A" w:rsidRPr="00156523">
        <w:rPr>
          <w:color w:val="FF6600"/>
          <w:sz w:val="22"/>
          <w:szCs w:val="22"/>
        </w:rPr>
        <w:t>Replace</w:t>
      </w:r>
      <w:r w:rsidR="00FA22CA" w:rsidRPr="00156523">
        <w:rPr>
          <w:color w:val="FF6600"/>
          <w:sz w:val="22"/>
          <w:szCs w:val="22"/>
        </w:rPr>
        <w:t xml:space="preserve"> the shaded areas with information about your community.</w:t>
      </w:r>
    </w:p>
    <w:p w14:paraId="4CF5CA5B" w14:textId="77777777" w:rsidR="003D08C3" w:rsidRPr="00156523" w:rsidRDefault="003D08C3" w:rsidP="003D08C3">
      <w:pPr>
        <w:ind w:firstLine="720"/>
        <w:rPr>
          <w:sz w:val="22"/>
          <w:szCs w:val="22"/>
        </w:rPr>
      </w:pPr>
    </w:p>
    <w:p w14:paraId="4CF5CA5D" w14:textId="77777777" w:rsidR="003558D3" w:rsidRPr="00156523" w:rsidRDefault="003558D3" w:rsidP="003667D2">
      <w:pPr>
        <w:ind w:left="1440"/>
        <w:rPr>
          <w:i/>
          <w:sz w:val="22"/>
          <w:szCs w:val="22"/>
        </w:rPr>
      </w:pPr>
    </w:p>
    <w:p w14:paraId="4CF5CA5E" w14:textId="77777777" w:rsidR="003558D3" w:rsidRPr="00156523" w:rsidRDefault="003558D3" w:rsidP="003667D2">
      <w:pPr>
        <w:ind w:left="1440"/>
        <w:rPr>
          <w:i/>
          <w:sz w:val="22"/>
          <w:szCs w:val="22"/>
        </w:rPr>
      </w:pPr>
      <w:r w:rsidRPr="00156523">
        <w:rPr>
          <w:i/>
          <w:sz w:val="22"/>
          <w:szCs w:val="22"/>
        </w:rPr>
        <w:t xml:space="preserve">Individuals conducting income surveys in the project area were asked to determine if any LEP households were located in the potential project area.  According to surveyors, there were </w:t>
      </w:r>
      <w:r w:rsidR="001F2B1A" w:rsidRPr="00156523">
        <w:rPr>
          <w:i/>
          <w:sz w:val="22"/>
          <w:szCs w:val="22"/>
        </w:rPr>
        <w:t>n</w:t>
      </w:r>
      <w:r w:rsidRPr="00156523">
        <w:rPr>
          <w:i/>
          <w:sz w:val="22"/>
          <w:szCs w:val="22"/>
        </w:rPr>
        <w:t xml:space="preserve">umber of </w:t>
      </w:r>
      <w:r w:rsidR="00762617" w:rsidRPr="00156523">
        <w:rPr>
          <w:i/>
          <w:sz w:val="22"/>
          <w:szCs w:val="22"/>
        </w:rPr>
        <w:t xml:space="preserve">LEP </w:t>
      </w:r>
      <w:r w:rsidR="001F2B1A" w:rsidRPr="00156523">
        <w:rPr>
          <w:i/>
          <w:sz w:val="22"/>
          <w:szCs w:val="22"/>
        </w:rPr>
        <w:t>h</w:t>
      </w:r>
      <w:r w:rsidRPr="00156523">
        <w:rPr>
          <w:i/>
          <w:sz w:val="22"/>
          <w:szCs w:val="22"/>
        </w:rPr>
        <w:t>ouseholds</w:t>
      </w:r>
      <w:r w:rsidR="00C11846" w:rsidRPr="00156523">
        <w:rPr>
          <w:i/>
          <w:sz w:val="22"/>
          <w:szCs w:val="22"/>
        </w:rPr>
        <w:t xml:space="preserve"> households</w:t>
      </w:r>
      <w:r w:rsidR="001F2B1A" w:rsidRPr="00156523">
        <w:rPr>
          <w:i/>
          <w:sz w:val="22"/>
          <w:szCs w:val="22"/>
        </w:rPr>
        <w:t xml:space="preserve"> located</w:t>
      </w:r>
      <w:r w:rsidR="00C11846" w:rsidRPr="00156523">
        <w:rPr>
          <w:i/>
          <w:sz w:val="22"/>
          <w:szCs w:val="22"/>
        </w:rPr>
        <w:t xml:space="preserve"> in the proposed project area</w:t>
      </w:r>
      <w:r w:rsidR="00FA22CA" w:rsidRPr="00156523">
        <w:rPr>
          <w:i/>
          <w:sz w:val="22"/>
          <w:szCs w:val="22"/>
        </w:rPr>
        <w:t>.  T</w:t>
      </w:r>
      <w:r w:rsidRPr="00156523">
        <w:rPr>
          <w:i/>
          <w:sz w:val="22"/>
          <w:szCs w:val="22"/>
        </w:rPr>
        <w:t>his doe</w:t>
      </w:r>
      <w:r w:rsidR="00FA22CA" w:rsidRPr="00156523">
        <w:rPr>
          <w:i/>
          <w:sz w:val="22"/>
          <w:szCs w:val="22"/>
        </w:rPr>
        <w:t>s</w:t>
      </w:r>
      <w:r w:rsidRPr="00156523">
        <w:rPr>
          <w:i/>
          <w:sz w:val="22"/>
          <w:szCs w:val="22"/>
        </w:rPr>
        <w:t xml:space="preserve">/does not represent a threshold population of LEP residents.  </w:t>
      </w:r>
    </w:p>
    <w:p w14:paraId="4CF5CA5F" w14:textId="77777777" w:rsidR="00C11846" w:rsidRPr="00156523" w:rsidRDefault="00C11846" w:rsidP="003667D2">
      <w:pPr>
        <w:ind w:left="1440"/>
        <w:rPr>
          <w:i/>
          <w:sz w:val="22"/>
          <w:szCs w:val="22"/>
        </w:rPr>
      </w:pPr>
    </w:p>
    <w:p w14:paraId="4CF5CA60" w14:textId="77777777" w:rsidR="00C11846" w:rsidRPr="00156523" w:rsidRDefault="00C11846" w:rsidP="003667D2">
      <w:pPr>
        <w:ind w:left="1440"/>
        <w:rPr>
          <w:i/>
          <w:sz w:val="22"/>
          <w:szCs w:val="22"/>
        </w:rPr>
      </w:pPr>
      <w:r w:rsidRPr="00156523">
        <w:rPr>
          <w:i/>
          <w:sz w:val="22"/>
          <w:szCs w:val="22"/>
        </w:rPr>
        <w:t>Local elected officials, clergy, medical personnel, and school administrators were polled by telephone/</w:t>
      </w:r>
      <w:r w:rsidR="001F2B1A" w:rsidRPr="00156523">
        <w:rPr>
          <w:i/>
          <w:sz w:val="22"/>
          <w:szCs w:val="22"/>
        </w:rPr>
        <w:t>questionnaire</w:t>
      </w:r>
      <w:r w:rsidRPr="00156523">
        <w:rPr>
          <w:i/>
          <w:sz w:val="22"/>
          <w:szCs w:val="22"/>
        </w:rPr>
        <w:t xml:space="preserve"> to request input regarding their knowledge of LEP households within the community and/or proposed project area(s).  Based on the results of the </w:t>
      </w:r>
      <w:r w:rsidR="001F2B1A" w:rsidRPr="00156523">
        <w:rPr>
          <w:i/>
          <w:sz w:val="22"/>
          <w:szCs w:val="22"/>
        </w:rPr>
        <w:t>telephone poll/</w:t>
      </w:r>
      <w:r w:rsidRPr="00156523">
        <w:rPr>
          <w:i/>
          <w:sz w:val="22"/>
          <w:szCs w:val="22"/>
        </w:rPr>
        <w:t xml:space="preserve">questionnaires, there are an estimated </w:t>
      </w:r>
      <w:r w:rsidR="001F2B1A" w:rsidRPr="00156523">
        <w:rPr>
          <w:i/>
          <w:sz w:val="22"/>
          <w:szCs w:val="22"/>
        </w:rPr>
        <w:t>n</w:t>
      </w:r>
      <w:r w:rsidRPr="00156523">
        <w:rPr>
          <w:i/>
          <w:sz w:val="22"/>
          <w:szCs w:val="22"/>
        </w:rPr>
        <w:t xml:space="preserve">umber of </w:t>
      </w:r>
      <w:r w:rsidR="00762617" w:rsidRPr="00156523">
        <w:rPr>
          <w:i/>
          <w:sz w:val="22"/>
          <w:szCs w:val="22"/>
        </w:rPr>
        <w:t xml:space="preserve">LEP </w:t>
      </w:r>
      <w:r w:rsidR="001F2B1A" w:rsidRPr="00156523">
        <w:rPr>
          <w:i/>
          <w:sz w:val="22"/>
          <w:szCs w:val="22"/>
        </w:rPr>
        <w:t>h</w:t>
      </w:r>
      <w:r w:rsidRPr="00156523">
        <w:rPr>
          <w:i/>
          <w:sz w:val="22"/>
          <w:szCs w:val="22"/>
        </w:rPr>
        <w:t xml:space="preserve">ouseholds </w:t>
      </w:r>
      <w:r w:rsidR="00933680" w:rsidRPr="00156523">
        <w:rPr>
          <w:i/>
          <w:sz w:val="22"/>
          <w:szCs w:val="22"/>
        </w:rPr>
        <w:t xml:space="preserve">households </w:t>
      </w:r>
      <w:r w:rsidR="001F2B1A" w:rsidRPr="00156523">
        <w:rPr>
          <w:i/>
          <w:sz w:val="22"/>
          <w:szCs w:val="22"/>
        </w:rPr>
        <w:t xml:space="preserve">located </w:t>
      </w:r>
      <w:r w:rsidRPr="00156523">
        <w:rPr>
          <w:i/>
          <w:sz w:val="22"/>
          <w:szCs w:val="22"/>
        </w:rPr>
        <w:t>in Community Name</w:t>
      </w:r>
      <w:r w:rsidR="00FA22CA" w:rsidRPr="00156523">
        <w:rPr>
          <w:i/>
          <w:sz w:val="22"/>
          <w:szCs w:val="22"/>
        </w:rPr>
        <w:t>.  T</w:t>
      </w:r>
      <w:r w:rsidRPr="00156523">
        <w:rPr>
          <w:i/>
          <w:sz w:val="22"/>
          <w:szCs w:val="22"/>
        </w:rPr>
        <w:t>his does/does not represent a LEP threshold population.</w:t>
      </w:r>
    </w:p>
    <w:p w14:paraId="4CF5CA61" w14:textId="77777777" w:rsidR="003558D3" w:rsidRPr="00156523" w:rsidRDefault="003558D3" w:rsidP="003667D2">
      <w:pPr>
        <w:ind w:left="1440"/>
        <w:rPr>
          <w:i/>
          <w:sz w:val="22"/>
          <w:szCs w:val="22"/>
        </w:rPr>
      </w:pPr>
    </w:p>
    <w:p w14:paraId="4CF5CA62" w14:textId="77777777" w:rsidR="00BE27EA" w:rsidRPr="00156523" w:rsidRDefault="00933680" w:rsidP="003667D2">
      <w:pPr>
        <w:ind w:left="1440"/>
        <w:rPr>
          <w:i/>
          <w:sz w:val="22"/>
          <w:szCs w:val="22"/>
        </w:rPr>
      </w:pPr>
      <w:r w:rsidRPr="00156523">
        <w:rPr>
          <w:i/>
          <w:sz w:val="22"/>
          <w:szCs w:val="22"/>
        </w:rPr>
        <w:t xml:space="preserve">County Name utilized </w:t>
      </w:r>
      <w:r w:rsidR="00961726" w:rsidRPr="00156523">
        <w:rPr>
          <w:i/>
          <w:sz w:val="22"/>
          <w:szCs w:val="22"/>
        </w:rPr>
        <w:t>Census 2000 Special Tabulation 194</w:t>
      </w:r>
      <w:r w:rsidR="0008051C" w:rsidRPr="00156523">
        <w:rPr>
          <w:i/>
          <w:sz w:val="22"/>
          <w:szCs w:val="22"/>
        </w:rPr>
        <w:t xml:space="preserve"> and Table </w:t>
      </w:r>
      <w:r w:rsidR="00021ED2" w:rsidRPr="00156523">
        <w:rPr>
          <w:i/>
          <w:sz w:val="22"/>
          <w:szCs w:val="22"/>
        </w:rPr>
        <w:t>4</w:t>
      </w:r>
      <w:r w:rsidR="0008051C" w:rsidRPr="00156523">
        <w:rPr>
          <w:i/>
          <w:sz w:val="22"/>
          <w:szCs w:val="22"/>
        </w:rPr>
        <w:t xml:space="preserve">, </w:t>
      </w:r>
      <w:r w:rsidR="00021ED2" w:rsidRPr="00156523">
        <w:rPr>
          <w:i/>
          <w:sz w:val="22"/>
          <w:szCs w:val="22"/>
        </w:rPr>
        <w:t>Table 4, Language Spoken at Home and Ability to Speak English for Population 5 Years and Over</w:t>
      </w:r>
      <w:r w:rsidR="00961726" w:rsidRPr="00156523">
        <w:rPr>
          <w:i/>
          <w:sz w:val="22"/>
          <w:szCs w:val="22"/>
        </w:rPr>
        <w:t xml:space="preserve">.  </w:t>
      </w:r>
      <w:r w:rsidR="003D08C3" w:rsidRPr="00156523">
        <w:rPr>
          <w:i/>
          <w:sz w:val="22"/>
          <w:szCs w:val="22"/>
        </w:rPr>
        <w:t>Based on this data,</w:t>
      </w:r>
      <w:r w:rsidR="007E2302" w:rsidRPr="00156523">
        <w:rPr>
          <w:i/>
          <w:sz w:val="22"/>
          <w:szCs w:val="22"/>
        </w:rPr>
        <w:t xml:space="preserve"> </w:t>
      </w:r>
      <w:r w:rsidRPr="00156523">
        <w:rPr>
          <w:i/>
          <w:sz w:val="22"/>
          <w:szCs w:val="22"/>
        </w:rPr>
        <w:t>County Name</w:t>
      </w:r>
      <w:r w:rsidR="007E2302" w:rsidRPr="00156523">
        <w:rPr>
          <w:i/>
          <w:sz w:val="22"/>
          <w:szCs w:val="22"/>
        </w:rPr>
        <w:t xml:space="preserve"> </w:t>
      </w:r>
      <w:r w:rsidRPr="00156523">
        <w:rPr>
          <w:i/>
          <w:sz w:val="22"/>
          <w:szCs w:val="22"/>
        </w:rPr>
        <w:t>doe</w:t>
      </w:r>
      <w:r w:rsidR="005C52FC" w:rsidRPr="00156523">
        <w:rPr>
          <w:i/>
          <w:sz w:val="22"/>
          <w:szCs w:val="22"/>
        </w:rPr>
        <w:t>s</w:t>
      </w:r>
      <w:r w:rsidRPr="00156523">
        <w:rPr>
          <w:i/>
          <w:sz w:val="22"/>
          <w:szCs w:val="22"/>
        </w:rPr>
        <w:t xml:space="preserve">/does not </w:t>
      </w:r>
      <w:r w:rsidR="007E2302" w:rsidRPr="00156523">
        <w:rPr>
          <w:i/>
          <w:sz w:val="22"/>
          <w:szCs w:val="22"/>
        </w:rPr>
        <w:t xml:space="preserve">meet the 1,000 </w:t>
      </w:r>
      <w:r w:rsidRPr="00156523">
        <w:rPr>
          <w:i/>
          <w:sz w:val="22"/>
          <w:szCs w:val="22"/>
        </w:rPr>
        <w:t xml:space="preserve">or 5% </w:t>
      </w:r>
      <w:r w:rsidR="007E2302" w:rsidRPr="00156523">
        <w:rPr>
          <w:i/>
          <w:sz w:val="22"/>
          <w:szCs w:val="22"/>
        </w:rPr>
        <w:t xml:space="preserve">LEP persons threshold for </w:t>
      </w:r>
      <w:r w:rsidR="00FA22CA" w:rsidRPr="00156523">
        <w:rPr>
          <w:i/>
          <w:sz w:val="22"/>
          <w:szCs w:val="22"/>
        </w:rPr>
        <w:t>any languages or Language</w:t>
      </w:r>
      <w:r w:rsidR="00240454" w:rsidRPr="00156523">
        <w:rPr>
          <w:i/>
          <w:sz w:val="22"/>
          <w:szCs w:val="22"/>
        </w:rPr>
        <w:t>(s)</w:t>
      </w:r>
      <w:r w:rsidR="00FA22CA" w:rsidRPr="00156523">
        <w:rPr>
          <w:i/>
          <w:sz w:val="22"/>
          <w:szCs w:val="22"/>
        </w:rPr>
        <w:t xml:space="preserve"> </w:t>
      </w:r>
      <w:r w:rsidR="001F2B1A" w:rsidRPr="00156523">
        <w:rPr>
          <w:i/>
          <w:sz w:val="22"/>
          <w:szCs w:val="22"/>
        </w:rPr>
        <w:t>i</w:t>
      </w:r>
      <w:r w:rsidR="00FA22CA" w:rsidRPr="00156523">
        <w:rPr>
          <w:i/>
          <w:sz w:val="22"/>
          <w:szCs w:val="22"/>
        </w:rPr>
        <w:t>dentified</w:t>
      </w:r>
      <w:r w:rsidR="00762617" w:rsidRPr="00156523">
        <w:rPr>
          <w:i/>
          <w:sz w:val="22"/>
          <w:szCs w:val="22"/>
        </w:rPr>
        <w:t>.</w:t>
      </w:r>
      <w:r w:rsidR="00FA22CA" w:rsidRPr="00156523">
        <w:rPr>
          <w:i/>
          <w:sz w:val="22"/>
          <w:szCs w:val="22"/>
        </w:rPr>
        <w:t xml:space="preserve"> </w:t>
      </w:r>
    </w:p>
    <w:p w14:paraId="4CF5CA63" w14:textId="77777777" w:rsidR="00933680" w:rsidRPr="00156523" w:rsidRDefault="00933680" w:rsidP="00654690">
      <w:pPr>
        <w:ind w:left="2160" w:right="1080"/>
        <w:rPr>
          <w:sz w:val="22"/>
          <w:szCs w:val="22"/>
        </w:rPr>
      </w:pPr>
    </w:p>
    <w:p w14:paraId="4CF5CA64" w14:textId="77777777" w:rsidR="00BE27EA" w:rsidRPr="00156523" w:rsidRDefault="00BE27EA" w:rsidP="003667D2">
      <w:pPr>
        <w:numPr>
          <w:ilvl w:val="0"/>
          <w:numId w:val="1"/>
        </w:numPr>
        <w:tabs>
          <w:tab w:val="clear" w:pos="1080"/>
          <w:tab w:val="num" w:pos="720"/>
        </w:tabs>
        <w:ind w:left="720"/>
        <w:rPr>
          <w:sz w:val="22"/>
          <w:szCs w:val="22"/>
        </w:rPr>
      </w:pPr>
      <w:r w:rsidRPr="00156523">
        <w:rPr>
          <w:sz w:val="22"/>
          <w:szCs w:val="22"/>
        </w:rPr>
        <w:t xml:space="preserve">The frequency with which the LEP persons come into contact with the program. </w:t>
      </w:r>
    </w:p>
    <w:p w14:paraId="4CF5CA65" w14:textId="77777777" w:rsidR="00FA22CA" w:rsidRPr="00156523" w:rsidRDefault="00FA22CA" w:rsidP="00FA22CA">
      <w:pPr>
        <w:ind w:left="720"/>
        <w:rPr>
          <w:color w:val="FF6600"/>
          <w:sz w:val="22"/>
          <w:szCs w:val="22"/>
        </w:rPr>
      </w:pPr>
    </w:p>
    <w:p w14:paraId="4CF5CA66" w14:textId="77777777" w:rsidR="00FA22CA" w:rsidRPr="00156523" w:rsidRDefault="00FA22CA" w:rsidP="00411DF9">
      <w:pPr>
        <w:ind w:left="720"/>
        <w:rPr>
          <w:color w:val="FF6600"/>
          <w:sz w:val="22"/>
          <w:szCs w:val="22"/>
        </w:rPr>
      </w:pPr>
      <w:r w:rsidRPr="00156523">
        <w:rPr>
          <w:color w:val="FF6600"/>
          <w:sz w:val="22"/>
          <w:szCs w:val="22"/>
        </w:rPr>
        <w:t xml:space="preserve">Select the paragraph(s) below that best describe your methodology.  Delete the other paragraph(s).  These paragraphs may be modified or replaced with narrative that more accurately reflects the community’s methodology.  </w:t>
      </w:r>
    </w:p>
    <w:p w14:paraId="4CF5CA67" w14:textId="77777777" w:rsidR="001F2B1A" w:rsidRPr="00156523" w:rsidRDefault="001F2B1A" w:rsidP="00411DF9">
      <w:pPr>
        <w:ind w:left="720"/>
        <w:rPr>
          <w:sz w:val="22"/>
          <w:szCs w:val="22"/>
        </w:rPr>
      </w:pPr>
    </w:p>
    <w:p w14:paraId="4CF5CA68" w14:textId="77777777" w:rsidR="00933680" w:rsidRPr="00156523" w:rsidRDefault="00933680" w:rsidP="003667D2">
      <w:pPr>
        <w:ind w:left="1440"/>
        <w:rPr>
          <w:i/>
          <w:sz w:val="22"/>
          <w:szCs w:val="22"/>
        </w:rPr>
      </w:pPr>
      <w:r w:rsidRPr="00156523">
        <w:rPr>
          <w:i/>
          <w:sz w:val="22"/>
          <w:szCs w:val="22"/>
        </w:rPr>
        <w:t>The proposed project does include acquisition, relocation, housing rehabilitation, and/</w:t>
      </w:r>
      <w:r w:rsidR="00FA22CA" w:rsidRPr="00156523">
        <w:rPr>
          <w:i/>
          <w:sz w:val="22"/>
          <w:szCs w:val="22"/>
        </w:rPr>
        <w:t>or</w:t>
      </w:r>
      <w:r w:rsidRPr="00156523">
        <w:rPr>
          <w:i/>
          <w:sz w:val="22"/>
          <w:szCs w:val="22"/>
        </w:rPr>
        <w:t xml:space="preserve"> water/sewer hookups.  Therefore, residents are likely to have considerable direct contact with the program </w:t>
      </w:r>
      <w:r w:rsidR="00FA22CA" w:rsidRPr="00156523">
        <w:rPr>
          <w:i/>
          <w:sz w:val="22"/>
          <w:szCs w:val="22"/>
        </w:rPr>
        <w:t xml:space="preserve">and its </w:t>
      </w:r>
      <w:r w:rsidRPr="00156523">
        <w:rPr>
          <w:i/>
          <w:sz w:val="22"/>
          <w:szCs w:val="22"/>
        </w:rPr>
        <w:t xml:space="preserve">staff.  </w:t>
      </w:r>
    </w:p>
    <w:p w14:paraId="4CF5CA69" w14:textId="77777777" w:rsidR="00933680" w:rsidRPr="00156523" w:rsidRDefault="00933680" w:rsidP="003667D2">
      <w:pPr>
        <w:ind w:left="1440"/>
        <w:rPr>
          <w:i/>
          <w:sz w:val="22"/>
          <w:szCs w:val="22"/>
        </w:rPr>
      </w:pPr>
    </w:p>
    <w:p w14:paraId="4CF5CA6A" w14:textId="77777777" w:rsidR="00411DF9" w:rsidRPr="00156523" w:rsidRDefault="00933680" w:rsidP="003667D2">
      <w:pPr>
        <w:ind w:left="1440"/>
        <w:rPr>
          <w:i/>
          <w:sz w:val="22"/>
          <w:szCs w:val="22"/>
        </w:rPr>
      </w:pPr>
      <w:r w:rsidRPr="00156523">
        <w:rPr>
          <w:i/>
          <w:sz w:val="22"/>
          <w:szCs w:val="22"/>
        </w:rPr>
        <w:t xml:space="preserve">The proposed project is an infrastructure project that </w:t>
      </w:r>
      <w:r w:rsidR="00411DF9" w:rsidRPr="00156523">
        <w:rPr>
          <w:i/>
          <w:sz w:val="22"/>
          <w:szCs w:val="22"/>
        </w:rPr>
        <w:t xml:space="preserve">does not provide </w:t>
      </w:r>
      <w:r w:rsidR="00A8627B" w:rsidRPr="00156523">
        <w:rPr>
          <w:i/>
          <w:sz w:val="22"/>
          <w:szCs w:val="22"/>
        </w:rPr>
        <w:t xml:space="preserve">direct </w:t>
      </w:r>
      <w:r w:rsidR="00411DF9" w:rsidRPr="00156523">
        <w:rPr>
          <w:i/>
          <w:sz w:val="22"/>
          <w:szCs w:val="22"/>
        </w:rPr>
        <w:t>assistance to individuals.  As a result, LEP persons rarely come into contac</w:t>
      </w:r>
      <w:r w:rsidR="0024218F" w:rsidRPr="00156523">
        <w:rPr>
          <w:i/>
          <w:sz w:val="22"/>
          <w:szCs w:val="22"/>
        </w:rPr>
        <w:t>t with the CDBG program</w:t>
      </w:r>
      <w:r w:rsidRPr="00156523">
        <w:rPr>
          <w:i/>
          <w:sz w:val="22"/>
          <w:szCs w:val="22"/>
        </w:rPr>
        <w:t xml:space="preserve">.  However, all citizen participation activities are open to the general public.  </w:t>
      </w:r>
      <w:r w:rsidR="007E2302" w:rsidRPr="00156523">
        <w:rPr>
          <w:i/>
          <w:sz w:val="22"/>
          <w:szCs w:val="22"/>
        </w:rPr>
        <w:t xml:space="preserve">  </w:t>
      </w:r>
    </w:p>
    <w:p w14:paraId="4CF5CA6B" w14:textId="77777777" w:rsidR="00BE27EA" w:rsidRPr="00156523" w:rsidRDefault="00BE27EA" w:rsidP="00BE27EA">
      <w:pPr>
        <w:ind w:left="720"/>
        <w:rPr>
          <w:sz w:val="22"/>
          <w:szCs w:val="22"/>
        </w:rPr>
      </w:pPr>
    </w:p>
    <w:p w14:paraId="4CF5CA6C" w14:textId="77777777" w:rsidR="00BE27EA" w:rsidRPr="00156523" w:rsidRDefault="00BE27EA" w:rsidP="003667D2">
      <w:pPr>
        <w:numPr>
          <w:ilvl w:val="0"/>
          <w:numId w:val="1"/>
        </w:numPr>
        <w:tabs>
          <w:tab w:val="clear" w:pos="1080"/>
          <w:tab w:val="num" w:pos="720"/>
        </w:tabs>
        <w:ind w:left="720"/>
        <w:rPr>
          <w:sz w:val="22"/>
          <w:szCs w:val="22"/>
        </w:rPr>
      </w:pPr>
      <w:r w:rsidRPr="00156523">
        <w:rPr>
          <w:sz w:val="22"/>
          <w:szCs w:val="22"/>
        </w:rPr>
        <w:lastRenderedPageBreak/>
        <w:t>The nature and importance of the program, activity, or service provided by the program.</w:t>
      </w:r>
    </w:p>
    <w:p w14:paraId="4CF5CA6D" w14:textId="77777777" w:rsidR="00945AB3" w:rsidRPr="00156523" w:rsidRDefault="00945AB3" w:rsidP="00945AB3">
      <w:pPr>
        <w:ind w:left="720"/>
        <w:rPr>
          <w:sz w:val="22"/>
          <w:szCs w:val="22"/>
        </w:rPr>
      </w:pPr>
    </w:p>
    <w:p w14:paraId="4CF5CA6E" w14:textId="77777777" w:rsidR="00945AB3" w:rsidRPr="00156523" w:rsidRDefault="00945AB3" w:rsidP="00945AB3">
      <w:pPr>
        <w:ind w:left="720"/>
        <w:rPr>
          <w:color w:val="FF6600"/>
          <w:sz w:val="22"/>
          <w:szCs w:val="22"/>
        </w:rPr>
      </w:pPr>
      <w:r w:rsidRPr="00156523">
        <w:rPr>
          <w:color w:val="FF6600"/>
          <w:sz w:val="22"/>
          <w:szCs w:val="22"/>
        </w:rPr>
        <w:t xml:space="preserve">Select the paragraph(s) below that best describe your methodology.  Delete the other paragraph(s).  These paragraphs may be modified or replaced with narrative that more accurately reflects the community’s methodology.  </w:t>
      </w:r>
      <w:r w:rsidR="001F2B1A" w:rsidRPr="00156523">
        <w:rPr>
          <w:color w:val="FF6600"/>
          <w:sz w:val="22"/>
          <w:szCs w:val="22"/>
        </w:rPr>
        <w:t>Replace</w:t>
      </w:r>
      <w:r w:rsidRPr="00156523">
        <w:rPr>
          <w:color w:val="FF6600"/>
          <w:sz w:val="22"/>
          <w:szCs w:val="22"/>
        </w:rPr>
        <w:t xml:space="preserve"> the shaded areas with information about your community.</w:t>
      </w:r>
    </w:p>
    <w:p w14:paraId="4CF5CA6F" w14:textId="77777777" w:rsidR="00A8627B" w:rsidRPr="00156523" w:rsidRDefault="00A8627B" w:rsidP="00A8627B">
      <w:pPr>
        <w:ind w:left="720"/>
        <w:rPr>
          <w:sz w:val="22"/>
          <w:szCs w:val="22"/>
        </w:rPr>
      </w:pPr>
    </w:p>
    <w:p w14:paraId="4CF5CA70" w14:textId="77777777" w:rsidR="00945AB3" w:rsidRPr="00156523" w:rsidRDefault="00FA22CA" w:rsidP="003667D2">
      <w:pPr>
        <w:ind w:left="1440"/>
        <w:rPr>
          <w:i/>
          <w:sz w:val="22"/>
          <w:szCs w:val="22"/>
        </w:rPr>
      </w:pPr>
      <w:r w:rsidRPr="00156523">
        <w:rPr>
          <w:i/>
          <w:sz w:val="22"/>
          <w:szCs w:val="22"/>
        </w:rPr>
        <w:t>The proposed project does provide direct assistance to project area beneficiaries related to housing/hookups/acquisition; therefore</w:t>
      </w:r>
      <w:r w:rsidR="00945AB3" w:rsidRPr="00156523">
        <w:rPr>
          <w:i/>
          <w:sz w:val="22"/>
          <w:szCs w:val="22"/>
        </w:rPr>
        <w:t xml:space="preserve">, the nature of the activity or service is </w:t>
      </w:r>
      <w:r w:rsidR="00240454" w:rsidRPr="00156523">
        <w:rPr>
          <w:i/>
          <w:sz w:val="22"/>
          <w:szCs w:val="22"/>
        </w:rPr>
        <w:t>of</w:t>
      </w:r>
      <w:r w:rsidR="00945AB3" w:rsidRPr="00156523">
        <w:rPr>
          <w:i/>
          <w:sz w:val="22"/>
          <w:szCs w:val="22"/>
        </w:rPr>
        <w:t xml:space="preserve"> significant importance to the proposed project area(s) residents.</w:t>
      </w:r>
    </w:p>
    <w:p w14:paraId="4CF5CA71" w14:textId="77777777" w:rsidR="00945AB3" w:rsidRPr="00156523" w:rsidRDefault="00945AB3" w:rsidP="003667D2">
      <w:pPr>
        <w:ind w:left="1440"/>
        <w:rPr>
          <w:i/>
          <w:sz w:val="22"/>
          <w:szCs w:val="22"/>
        </w:rPr>
      </w:pPr>
    </w:p>
    <w:p w14:paraId="4CF5CA72" w14:textId="77777777" w:rsidR="00FA22CA" w:rsidRPr="00156523" w:rsidRDefault="00933680" w:rsidP="003667D2">
      <w:pPr>
        <w:ind w:left="1440"/>
        <w:rPr>
          <w:i/>
          <w:sz w:val="22"/>
          <w:szCs w:val="22"/>
        </w:rPr>
      </w:pPr>
      <w:r w:rsidRPr="00156523">
        <w:rPr>
          <w:i/>
          <w:sz w:val="22"/>
          <w:szCs w:val="22"/>
        </w:rPr>
        <w:t>The proposed project</w:t>
      </w:r>
      <w:r w:rsidR="00A8627B" w:rsidRPr="00156523">
        <w:rPr>
          <w:i/>
          <w:sz w:val="22"/>
          <w:szCs w:val="22"/>
        </w:rPr>
        <w:t xml:space="preserve"> </w:t>
      </w:r>
      <w:r w:rsidR="00FA22CA" w:rsidRPr="00156523">
        <w:rPr>
          <w:i/>
          <w:sz w:val="22"/>
          <w:szCs w:val="22"/>
        </w:rPr>
        <w:t xml:space="preserve">does </w:t>
      </w:r>
      <w:r w:rsidR="00A8627B" w:rsidRPr="00156523">
        <w:rPr>
          <w:i/>
          <w:sz w:val="22"/>
          <w:szCs w:val="22"/>
        </w:rPr>
        <w:t>not provide</w:t>
      </w:r>
      <w:r w:rsidR="002E7142" w:rsidRPr="00156523">
        <w:rPr>
          <w:i/>
          <w:sz w:val="22"/>
          <w:szCs w:val="22"/>
        </w:rPr>
        <w:t xml:space="preserve"> direct</w:t>
      </w:r>
      <w:r w:rsidR="00A8627B" w:rsidRPr="00156523">
        <w:rPr>
          <w:i/>
          <w:sz w:val="22"/>
          <w:szCs w:val="22"/>
        </w:rPr>
        <w:t xml:space="preserve"> assistance to individuals.  As a result, LEP persons rarely come into contac</w:t>
      </w:r>
      <w:r w:rsidR="0024218F" w:rsidRPr="00156523">
        <w:rPr>
          <w:i/>
          <w:sz w:val="22"/>
          <w:szCs w:val="22"/>
        </w:rPr>
        <w:t>t with the CDBG program</w:t>
      </w:r>
      <w:r w:rsidR="00A8627B" w:rsidRPr="00156523">
        <w:rPr>
          <w:i/>
          <w:sz w:val="22"/>
          <w:szCs w:val="22"/>
        </w:rPr>
        <w:t xml:space="preserve">.  </w:t>
      </w:r>
      <w:r w:rsidRPr="00156523">
        <w:rPr>
          <w:i/>
          <w:sz w:val="22"/>
          <w:szCs w:val="22"/>
        </w:rPr>
        <w:t xml:space="preserve">However, all citizen participation activities are open to the general public.  </w:t>
      </w:r>
    </w:p>
    <w:p w14:paraId="4CF5CA73" w14:textId="77777777" w:rsidR="00BE27EA" w:rsidRPr="00156523" w:rsidRDefault="00933680" w:rsidP="00945AB3">
      <w:pPr>
        <w:ind w:left="2160"/>
        <w:rPr>
          <w:sz w:val="22"/>
          <w:szCs w:val="22"/>
        </w:rPr>
      </w:pPr>
      <w:r w:rsidRPr="00156523">
        <w:rPr>
          <w:i/>
          <w:sz w:val="22"/>
          <w:szCs w:val="22"/>
        </w:rPr>
        <w:t xml:space="preserve">  </w:t>
      </w:r>
    </w:p>
    <w:p w14:paraId="4CF5CA74" w14:textId="77777777" w:rsidR="00BE27EA" w:rsidRPr="00156523" w:rsidRDefault="00BE27EA" w:rsidP="003667D2">
      <w:pPr>
        <w:numPr>
          <w:ilvl w:val="0"/>
          <w:numId w:val="1"/>
        </w:numPr>
        <w:tabs>
          <w:tab w:val="clear" w:pos="1080"/>
          <w:tab w:val="num" w:pos="720"/>
        </w:tabs>
        <w:ind w:left="720"/>
        <w:rPr>
          <w:sz w:val="22"/>
          <w:szCs w:val="22"/>
        </w:rPr>
      </w:pPr>
      <w:r w:rsidRPr="00156523">
        <w:rPr>
          <w:sz w:val="22"/>
          <w:szCs w:val="22"/>
        </w:rPr>
        <w:t>The resources available and costs to the recipient.</w:t>
      </w:r>
    </w:p>
    <w:p w14:paraId="4CF5CA75" w14:textId="77777777" w:rsidR="00A8627B" w:rsidRPr="00156523" w:rsidRDefault="00A8627B" w:rsidP="00A8627B">
      <w:pPr>
        <w:ind w:left="2160"/>
        <w:rPr>
          <w:i/>
          <w:sz w:val="22"/>
          <w:szCs w:val="22"/>
        </w:rPr>
      </w:pPr>
    </w:p>
    <w:p w14:paraId="4CF5CA76" w14:textId="77777777" w:rsidR="00A8627B" w:rsidRPr="00156523" w:rsidRDefault="00A8627B" w:rsidP="003667D2">
      <w:pPr>
        <w:ind w:left="1440"/>
        <w:rPr>
          <w:i/>
          <w:sz w:val="22"/>
          <w:szCs w:val="22"/>
        </w:rPr>
      </w:pPr>
      <w:r w:rsidRPr="00156523">
        <w:rPr>
          <w:i/>
          <w:sz w:val="22"/>
          <w:szCs w:val="22"/>
        </w:rPr>
        <w:t xml:space="preserve">Currently, </w:t>
      </w:r>
      <w:r w:rsidR="00021ED2" w:rsidRPr="00156523">
        <w:rPr>
          <w:i/>
          <w:sz w:val="22"/>
          <w:szCs w:val="22"/>
        </w:rPr>
        <w:t>internet sites</w:t>
      </w:r>
      <w:r w:rsidR="00933680" w:rsidRPr="00156523">
        <w:rPr>
          <w:i/>
          <w:sz w:val="22"/>
          <w:szCs w:val="22"/>
        </w:rPr>
        <w:t xml:space="preserve"> can be utilized to translate some written materials.  Additionally, local volunteers have been identified to provide oral translation services at public meetings and during </w:t>
      </w:r>
      <w:r w:rsidR="00C95422" w:rsidRPr="00156523">
        <w:rPr>
          <w:i/>
          <w:sz w:val="22"/>
          <w:szCs w:val="22"/>
        </w:rPr>
        <w:t>conversations with LEP residents during the implementation of the proposed project.</w:t>
      </w:r>
      <w:r w:rsidR="00945AB3" w:rsidRPr="00156523">
        <w:rPr>
          <w:i/>
          <w:sz w:val="22"/>
          <w:szCs w:val="22"/>
        </w:rPr>
        <w:t xml:space="preserve">  Furthermore, many of the common forms used in the implementation of a CDBG project are available </w:t>
      </w:r>
      <w:r w:rsidR="00240454" w:rsidRPr="00156523">
        <w:rPr>
          <w:i/>
          <w:sz w:val="22"/>
          <w:szCs w:val="22"/>
        </w:rPr>
        <w:t xml:space="preserve">in multiple languages </w:t>
      </w:r>
      <w:r w:rsidR="00945AB3" w:rsidRPr="00156523">
        <w:rPr>
          <w:i/>
          <w:sz w:val="22"/>
          <w:szCs w:val="22"/>
        </w:rPr>
        <w:t xml:space="preserve">on the HUD </w:t>
      </w:r>
      <w:r w:rsidR="00240454" w:rsidRPr="00156523">
        <w:rPr>
          <w:i/>
          <w:sz w:val="22"/>
          <w:szCs w:val="22"/>
        </w:rPr>
        <w:t xml:space="preserve">and DOL </w:t>
      </w:r>
      <w:r w:rsidR="00945AB3" w:rsidRPr="00156523">
        <w:rPr>
          <w:i/>
          <w:sz w:val="22"/>
          <w:szCs w:val="22"/>
        </w:rPr>
        <w:t>website</w:t>
      </w:r>
      <w:r w:rsidR="00240454" w:rsidRPr="00156523">
        <w:rPr>
          <w:i/>
          <w:sz w:val="22"/>
          <w:szCs w:val="22"/>
        </w:rPr>
        <w:t>s</w:t>
      </w:r>
      <w:r w:rsidR="00945AB3" w:rsidRPr="00156523">
        <w:rPr>
          <w:i/>
          <w:sz w:val="22"/>
          <w:szCs w:val="22"/>
        </w:rPr>
        <w:t>.</w:t>
      </w:r>
      <w:r w:rsidR="00C95422" w:rsidRPr="00156523">
        <w:rPr>
          <w:i/>
          <w:sz w:val="22"/>
          <w:szCs w:val="22"/>
        </w:rPr>
        <w:t xml:space="preserve">  Additionally, translation activities are an eligible CDBG administrative expense.  Therefore, </w:t>
      </w:r>
      <w:r w:rsidR="00945AB3" w:rsidRPr="00156523">
        <w:rPr>
          <w:i/>
          <w:sz w:val="22"/>
          <w:szCs w:val="22"/>
        </w:rPr>
        <w:t xml:space="preserve">limited </w:t>
      </w:r>
      <w:r w:rsidRPr="00156523">
        <w:rPr>
          <w:i/>
          <w:sz w:val="22"/>
          <w:szCs w:val="22"/>
        </w:rPr>
        <w:t xml:space="preserve">LAP measures are reasonable given the resources available to </w:t>
      </w:r>
      <w:r w:rsidR="00C95422" w:rsidRPr="00156523">
        <w:rPr>
          <w:i/>
          <w:sz w:val="22"/>
          <w:szCs w:val="22"/>
        </w:rPr>
        <w:t>Community Name</w:t>
      </w:r>
      <w:r w:rsidRPr="00156523">
        <w:rPr>
          <w:i/>
          <w:sz w:val="22"/>
          <w:szCs w:val="22"/>
        </w:rPr>
        <w:t>.</w:t>
      </w:r>
    </w:p>
    <w:p w14:paraId="4CF5CA77" w14:textId="77777777" w:rsidR="00945AB3" w:rsidRPr="00156523" w:rsidRDefault="00945AB3" w:rsidP="00A8627B">
      <w:pPr>
        <w:ind w:left="2160"/>
        <w:rPr>
          <w:i/>
          <w:sz w:val="22"/>
          <w:szCs w:val="22"/>
        </w:rPr>
      </w:pPr>
    </w:p>
    <w:p w14:paraId="4CF5CA78" w14:textId="77777777" w:rsidR="001F2B1A" w:rsidRPr="00156523" w:rsidRDefault="00945AB3" w:rsidP="00945AB3">
      <w:pPr>
        <w:ind w:left="720"/>
        <w:rPr>
          <w:color w:val="FF6600"/>
          <w:sz w:val="22"/>
          <w:szCs w:val="22"/>
        </w:rPr>
      </w:pPr>
      <w:r w:rsidRPr="00156523">
        <w:rPr>
          <w:color w:val="FF6600"/>
          <w:sz w:val="22"/>
          <w:szCs w:val="22"/>
        </w:rPr>
        <w:t xml:space="preserve">Once the </w:t>
      </w:r>
      <w:r w:rsidR="00240454" w:rsidRPr="00156523">
        <w:rPr>
          <w:color w:val="FF6600"/>
          <w:sz w:val="22"/>
          <w:szCs w:val="22"/>
        </w:rPr>
        <w:t>Four-Factor Analysis</w:t>
      </w:r>
      <w:r w:rsidRPr="00156523">
        <w:rPr>
          <w:color w:val="FF6600"/>
          <w:sz w:val="22"/>
          <w:szCs w:val="22"/>
        </w:rPr>
        <w:t xml:space="preserve"> has been completed, the community must determine if a LAP </w:t>
      </w:r>
      <w:r w:rsidR="00240454" w:rsidRPr="00156523">
        <w:rPr>
          <w:color w:val="FF6600"/>
          <w:sz w:val="22"/>
          <w:szCs w:val="22"/>
        </w:rPr>
        <w:t>is required</w:t>
      </w:r>
      <w:r w:rsidRPr="00156523">
        <w:rPr>
          <w:color w:val="FF6600"/>
          <w:sz w:val="22"/>
          <w:szCs w:val="22"/>
        </w:rPr>
        <w:t xml:space="preserve">.  </w:t>
      </w:r>
    </w:p>
    <w:p w14:paraId="4CF5CA79" w14:textId="77777777" w:rsidR="001F2B1A" w:rsidRPr="00156523" w:rsidRDefault="001F2B1A" w:rsidP="00945AB3">
      <w:pPr>
        <w:ind w:left="720"/>
        <w:rPr>
          <w:color w:val="FF6600"/>
          <w:sz w:val="22"/>
          <w:szCs w:val="22"/>
        </w:rPr>
      </w:pPr>
    </w:p>
    <w:p w14:paraId="4CF5CA7A" w14:textId="77777777" w:rsidR="001F2B1A" w:rsidRPr="00156523" w:rsidRDefault="00945AB3" w:rsidP="00945AB3">
      <w:pPr>
        <w:ind w:left="720"/>
        <w:rPr>
          <w:color w:val="FF6600"/>
          <w:sz w:val="22"/>
          <w:szCs w:val="22"/>
        </w:rPr>
      </w:pPr>
      <w:r w:rsidRPr="00156523">
        <w:rPr>
          <w:color w:val="FF6600"/>
          <w:sz w:val="22"/>
          <w:szCs w:val="22"/>
        </w:rPr>
        <w:t xml:space="preserve">If the community determines that </w:t>
      </w:r>
      <w:r w:rsidR="00762617" w:rsidRPr="00156523">
        <w:rPr>
          <w:color w:val="FF6600"/>
          <w:sz w:val="22"/>
          <w:szCs w:val="22"/>
        </w:rPr>
        <w:t>a LAP</w:t>
      </w:r>
      <w:r w:rsidRPr="00156523">
        <w:rPr>
          <w:color w:val="FF6600"/>
          <w:sz w:val="22"/>
          <w:szCs w:val="22"/>
        </w:rPr>
        <w:t xml:space="preserve"> is </w:t>
      </w:r>
      <w:r w:rsidRPr="00156523">
        <w:rPr>
          <w:b/>
          <w:color w:val="FF6600"/>
          <w:sz w:val="22"/>
          <w:szCs w:val="22"/>
        </w:rPr>
        <w:t>not</w:t>
      </w:r>
      <w:r w:rsidRPr="00156523">
        <w:rPr>
          <w:color w:val="FF6600"/>
          <w:sz w:val="22"/>
          <w:szCs w:val="22"/>
        </w:rPr>
        <w:t xml:space="preserve"> required, then the certification below should be signed and dated by the chief elected official and the </w:t>
      </w:r>
      <w:r w:rsidR="00240454" w:rsidRPr="00156523">
        <w:rPr>
          <w:color w:val="FF6600"/>
          <w:sz w:val="22"/>
          <w:szCs w:val="22"/>
        </w:rPr>
        <w:t>Four-Factor Analysis</w:t>
      </w:r>
      <w:r w:rsidRPr="00156523">
        <w:rPr>
          <w:color w:val="FF6600"/>
          <w:sz w:val="22"/>
          <w:szCs w:val="22"/>
        </w:rPr>
        <w:t xml:space="preserve"> should be kept in the Fair Housing and Equal Opportunity CDBG program file.  </w:t>
      </w:r>
    </w:p>
    <w:p w14:paraId="4CF5CA7B" w14:textId="77777777" w:rsidR="001F2B1A" w:rsidRPr="00156523" w:rsidRDefault="001F2B1A" w:rsidP="00945AB3">
      <w:pPr>
        <w:ind w:left="720"/>
        <w:rPr>
          <w:color w:val="FF6600"/>
          <w:sz w:val="22"/>
          <w:szCs w:val="22"/>
        </w:rPr>
      </w:pPr>
    </w:p>
    <w:p w14:paraId="4CF5CA7C" w14:textId="77777777" w:rsidR="00945AB3" w:rsidRPr="00156523" w:rsidRDefault="00945AB3" w:rsidP="00945AB3">
      <w:pPr>
        <w:ind w:left="720"/>
        <w:rPr>
          <w:color w:val="FF6600"/>
          <w:sz w:val="22"/>
          <w:szCs w:val="22"/>
        </w:rPr>
      </w:pPr>
      <w:r w:rsidRPr="00156523">
        <w:rPr>
          <w:color w:val="FF6600"/>
          <w:sz w:val="22"/>
          <w:szCs w:val="22"/>
        </w:rPr>
        <w:t xml:space="preserve">If the </w:t>
      </w:r>
      <w:r w:rsidR="00240454" w:rsidRPr="00156523">
        <w:rPr>
          <w:color w:val="FF6600"/>
          <w:sz w:val="22"/>
          <w:szCs w:val="22"/>
        </w:rPr>
        <w:t>Four-Factor Analysis</w:t>
      </w:r>
      <w:r w:rsidRPr="00156523">
        <w:rPr>
          <w:color w:val="FF6600"/>
          <w:sz w:val="22"/>
          <w:szCs w:val="22"/>
        </w:rPr>
        <w:t xml:space="preserve"> </w:t>
      </w:r>
      <w:r w:rsidR="00240454" w:rsidRPr="00156523">
        <w:rPr>
          <w:color w:val="FF6600"/>
          <w:sz w:val="22"/>
          <w:szCs w:val="22"/>
        </w:rPr>
        <w:t xml:space="preserve">identifies </w:t>
      </w:r>
      <w:r w:rsidR="00762617" w:rsidRPr="00156523">
        <w:rPr>
          <w:color w:val="FF6600"/>
          <w:sz w:val="22"/>
          <w:szCs w:val="22"/>
        </w:rPr>
        <w:t>a LEP</w:t>
      </w:r>
      <w:r w:rsidR="00240454" w:rsidRPr="00156523">
        <w:rPr>
          <w:color w:val="FF6600"/>
          <w:sz w:val="22"/>
          <w:szCs w:val="22"/>
        </w:rPr>
        <w:t xml:space="preserve"> threshold population and/or if the nature of the program activities </w:t>
      </w:r>
      <w:r w:rsidR="00192E1C" w:rsidRPr="00156523">
        <w:rPr>
          <w:color w:val="FF6600"/>
          <w:sz w:val="22"/>
          <w:szCs w:val="22"/>
        </w:rPr>
        <w:t>is</w:t>
      </w:r>
      <w:r w:rsidR="00240454" w:rsidRPr="00156523">
        <w:rPr>
          <w:color w:val="FF6600"/>
          <w:sz w:val="22"/>
          <w:szCs w:val="22"/>
        </w:rPr>
        <w:t xml:space="preserve"> such that </w:t>
      </w:r>
      <w:r w:rsidR="00762617" w:rsidRPr="00156523">
        <w:rPr>
          <w:color w:val="FF6600"/>
          <w:sz w:val="22"/>
          <w:szCs w:val="22"/>
        </w:rPr>
        <w:t>a LAP</w:t>
      </w:r>
      <w:r w:rsidR="00240454" w:rsidRPr="00156523">
        <w:rPr>
          <w:color w:val="FF6600"/>
          <w:sz w:val="22"/>
          <w:szCs w:val="22"/>
        </w:rPr>
        <w:t xml:space="preserve"> is </w:t>
      </w:r>
      <w:r w:rsidR="00192E1C" w:rsidRPr="00156523">
        <w:rPr>
          <w:color w:val="FF6600"/>
          <w:sz w:val="22"/>
          <w:szCs w:val="22"/>
        </w:rPr>
        <w:t>triggered</w:t>
      </w:r>
      <w:r w:rsidR="001F2B1A" w:rsidRPr="00156523">
        <w:rPr>
          <w:color w:val="FF6600"/>
          <w:sz w:val="22"/>
          <w:szCs w:val="22"/>
        </w:rPr>
        <w:t>,</w:t>
      </w:r>
      <w:r w:rsidR="00240454" w:rsidRPr="00156523">
        <w:rPr>
          <w:color w:val="FF6600"/>
          <w:sz w:val="22"/>
          <w:szCs w:val="22"/>
        </w:rPr>
        <w:t xml:space="preserve"> please delete the certification below and complete the LAP</w:t>
      </w:r>
      <w:r w:rsidR="00192E1C" w:rsidRPr="00156523">
        <w:rPr>
          <w:color w:val="FF6600"/>
          <w:sz w:val="22"/>
          <w:szCs w:val="22"/>
        </w:rPr>
        <w:t xml:space="preserve"> section at the end of this sample document.  </w:t>
      </w:r>
      <w:r w:rsidR="00240454" w:rsidRPr="00156523">
        <w:rPr>
          <w:color w:val="FF6600"/>
          <w:sz w:val="22"/>
          <w:szCs w:val="22"/>
        </w:rPr>
        <w:t xml:space="preserve"> </w:t>
      </w:r>
      <w:r w:rsidRPr="00156523">
        <w:rPr>
          <w:color w:val="FF6600"/>
          <w:sz w:val="22"/>
          <w:szCs w:val="22"/>
        </w:rPr>
        <w:t xml:space="preserve">  </w:t>
      </w:r>
    </w:p>
    <w:p w14:paraId="4CF5CA7D" w14:textId="77777777" w:rsidR="00BE27EA" w:rsidRPr="00156523" w:rsidRDefault="00BE27EA" w:rsidP="00BE27EA">
      <w:pPr>
        <w:ind w:left="720"/>
        <w:rPr>
          <w:sz w:val="22"/>
          <w:szCs w:val="22"/>
        </w:rPr>
      </w:pPr>
    </w:p>
    <w:p w14:paraId="4CF5CA7E" w14:textId="77777777" w:rsidR="00945AB3" w:rsidRPr="00156523" w:rsidRDefault="00192E1C" w:rsidP="007E2302">
      <w:pPr>
        <w:ind w:firstLine="720"/>
        <w:rPr>
          <w:b/>
          <w:sz w:val="22"/>
          <w:szCs w:val="22"/>
        </w:rPr>
      </w:pPr>
      <w:r w:rsidRPr="00156523">
        <w:rPr>
          <w:b/>
          <w:sz w:val="22"/>
          <w:szCs w:val="22"/>
        </w:rPr>
        <w:t xml:space="preserve">Certification:  </w:t>
      </w:r>
      <w:r w:rsidR="00945AB3" w:rsidRPr="00156523">
        <w:rPr>
          <w:sz w:val="22"/>
          <w:szCs w:val="22"/>
        </w:rPr>
        <w:t xml:space="preserve">Based on the above </w:t>
      </w:r>
      <w:r w:rsidR="00240454" w:rsidRPr="00156523">
        <w:rPr>
          <w:sz w:val="22"/>
          <w:szCs w:val="22"/>
        </w:rPr>
        <w:t>Four-Factor Analysis</w:t>
      </w:r>
      <w:r w:rsidR="00945AB3" w:rsidRPr="00156523">
        <w:rPr>
          <w:sz w:val="22"/>
          <w:szCs w:val="22"/>
        </w:rPr>
        <w:t xml:space="preserve">, the </w:t>
      </w:r>
      <w:r w:rsidR="00945AB3" w:rsidRPr="00156523">
        <w:rPr>
          <w:sz w:val="22"/>
          <w:szCs w:val="22"/>
          <w:highlight w:val="lightGray"/>
        </w:rPr>
        <w:t>Community Name</w:t>
      </w:r>
      <w:r w:rsidR="00945AB3" w:rsidRPr="00156523">
        <w:rPr>
          <w:sz w:val="22"/>
          <w:szCs w:val="22"/>
        </w:rPr>
        <w:t xml:space="preserve"> is not required to develop a LA</w:t>
      </w:r>
      <w:r w:rsidRPr="00156523">
        <w:rPr>
          <w:sz w:val="22"/>
          <w:szCs w:val="22"/>
        </w:rPr>
        <w:t>P</w:t>
      </w:r>
      <w:r w:rsidR="00945AB3" w:rsidRPr="00156523">
        <w:rPr>
          <w:sz w:val="22"/>
          <w:szCs w:val="22"/>
        </w:rPr>
        <w:t xml:space="preserve">.  However, the </w:t>
      </w:r>
      <w:r w:rsidR="00945AB3" w:rsidRPr="00156523">
        <w:rPr>
          <w:sz w:val="22"/>
          <w:szCs w:val="22"/>
          <w:highlight w:val="lightGray"/>
        </w:rPr>
        <w:t>Community Name</w:t>
      </w:r>
      <w:r w:rsidR="00945AB3" w:rsidRPr="00156523">
        <w:rPr>
          <w:sz w:val="22"/>
          <w:szCs w:val="22"/>
        </w:rPr>
        <w:t xml:space="preserve"> will make all reasonable attempts to accommodate language access needs of residents </w:t>
      </w:r>
      <w:r w:rsidR="00945AB3" w:rsidRPr="00156523">
        <w:rPr>
          <w:sz w:val="22"/>
          <w:szCs w:val="22"/>
          <w:u w:val="single"/>
        </w:rPr>
        <w:t>requesting</w:t>
      </w:r>
      <w:r w:rsidR="00945AB3" w:rsidRPr="00156523">
        <w:rPr>
          <w:sz w:val="22"/>
          <w:szCs w:val="22"/>
        </w:rPr>
        <w:t xml:space="preserve"> oral translation during citizen participation activities.</w:t>
      </w:r>
      <w:r w:rsidR="00945AB3" w:rsidRPr="00156523">
        <w:rPr>
          <w:b/>
          <w:sz w:val="22"/>
          <w:szCs w:val="22"/>
        </w:rPr>
        <w:t xml:space="preserve">    </w:t>
      </w:r>
    </w:p>
    <w:p w14:paraId="4CF5CA7F" w14:textId="77777777" w:rsidR="00945AB3" w:rsidRPr="00156523" w:rsidRDefault="00945AB3" w:rsidP="007E2302">
      <w:pPr>
        <w:ind w:firstLine="720"/>
        <w:rPr>
          <w:b/>
          <w:sz w:val="22"/>
          <w:szCs w:val="22"/>
        </w:rPr>
      </w:pPr>
    </w:p>
    <w:p w14:paraId="4CF5CA80" w14:textId="77777777" w:rsidR="00192E1C" w:rsidRPr="00156523" w:rsidRDefault="00192E1C" w:rsidP="00192E1C">
      <w:pPr>
        <w:rPr>
          <w:sz w:val="22"/>
          <w:szCs w:val="22"/>
        </w:rPr>
      </w:pPr>
    </w:p>
    <w:p w14:paraId="4CF5CA83" w14:textId="77777777" w:rsidR="00192E1C" w:rsidRPr="00156523" w:rsidRDefault="00192E1C" w:rsidP="00192E1C">
      <w:pPr>
        <w:rPr>
          <w:sz w:val="22"/>
          <w:szCs w:val="22"/>
        </w:rPr>
      </w:pPr>
    </w:p>
    <w:p w14:paraId="4CF5CA84" w14:textId="77777777" w:rsidR="00192E1C" w:rsidRPr="00156523" w:rsidRDefault="00192E1C" w:rsidP="00192E1C">
      <w:pPr>
        <w:rPr>
          <w:sz w:val="22"/>
          <w:szCs w:val="22"/>
        </w:rPr>
      </w:pP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rPr>
        <w:tab/>
      </w:r>
      <w:r w:rsidRPr="00156523">
        <w:rPr>
          <w:sz w:val="22"/>
          <w:szCs w:val="22"/>
          <w:u w:val="single"/>
        </w:rPr>
        <w:tab/>
      </w:r>
      <w:r w:rsidRPr="00156523">
        <w:rPr>
          <w:sz w:val="22"/>
          <w:szCs w:val="22"/>
          <w:u w:val="single"/>
        </w:rPr>
        <w:tab/>
      </w:r>
      <w:r w:rsidRPr="00156523">
        <w:rPr>
          <w:sz w:val="22"/>
          <w:szCs w:val="22"/>
          <w:u w:val="single"/>
        </w:rPr>
        <w:tab/>
      </w:r>
      <w:r w:rsidRPr="00156523">
        <w:rPr>
          <w:sz w:val="22"/>
          <w:szCs w:val="22"/>
          <w:u w:val="single"/>
        </w:rPr>
        <w:tab/>
      </w:r>
    </w:p>
    <w:p w14:paraId="4CF5CA8E" w14:textId="3B8D2A83" w:rsidR="003667D2" w:rsidRPr="00156523" w:rsidRDefault="00192E1C" w:rsidP="00644874">
      <w:pPr>
        <w:ind w:firstLine="720"/>
        <w:rPr>
          <w:b/>
          <w:sz w:val="22"/>
          <w:szCs w:val="22"/>
        </w:rPr>
      </w:pPr>
      <w:r w:rsidRPr="00156523">
        <w:rPr>
          <w:sz w:val="22"/>
          <w:szCs w:val="22"/>
        </w:rPr>
        <w:t>Chief Elected Official</w:t>
      </w:r>
      <w:r w:rsidRPr="00156523">
        <w:rPr>
          <w:sz w:val="22"/>
          <w:szCs w:val="22"/>
        </w:rPr>
        <w:tab/>
      </w:r>
      <w:r w:rsidRPr="00156523">
        <w:rPr>
          <w:sz w:val="22"/>
          <w:szCs w:val="22"/>
        </w:rPr>
        <w:tab/>
      </w:r>
      <w:r w:rsidRPr="00156523">
        <w:rPr>
          <w:sz w:val="22"/>
          <w:szCs w:val="22"/>
        </w:rPr>
        <w:tab/>
      </w:r>
      <w:r w:rsidRPr="00156523">
        <w:rPr>
          <w:sz w:val="22"/>
          <w:szCs w:val="22"/>
        </w:rPr>
        <w:tab/>
      </w:r>
      <w:r w:rsidRPr="00156523">
        <w:rPr>
          <w:sz w:val="22"/>
          <w:szCs w:val="22"/>
        </w:rPr>
        <w:tab/>
        <w:t>Date</w:t>
      </w:r>
    </w:p>
    <w:sectPr w:rsidR="003667D2" w:rsidRPr="00156523" w:rsidSect="0064487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5CAA6" w14:textId="77777777" w:rsidR="00476EFB" w:rsidRDefault="00476EFB">
      <w:r>
        <w:separator/>
      </w:r>
    </w:p>
  </w:endnote>
  <w:endnote w:type="continuationSeparator" w:id="0">
    <w:p w14:paraId="4CF5CAA7" w14:textId="77777777" w:rsidR="00476EFB" w:rsidRDefault="0047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5CAA8" w14:textId="77777777" w:rsidR="00021ED2" w:rsidRDefault="00627E1B" w:rsidP="00613D3D">
    <w:pPr>
      <w:pStyle w:val="Footer"/>
      <w:framePr w:wrap="around" w:vAnchor="text" w:hAnchor="margin" w:xAlign="center" w:y="1"/>
      <w:rPr>
        <w:rStyle w:val="PageNumber"/>
      </w:rPr>
    </w:pPr>
    <w:r>
      <w:rPr>
        <w:rStyle w:val="PageNumber"/>
      </w:rPr>
      <w:fldChar w:fldCharType="begin"/>
    </w:r>
    <w:r w:rsidR="00021ED2">
      <w:rPr>
        <w:rStyle w:val="PageNumber"/>
      </w:rPr>
      <w:instrText xml:space="preserve">PAGE  </w:instrText>
    </w:r>
    <w:r>
      <w:rPr>
        <w:rStyle w:val="PageNumber"/>
      </w:rPr>
      <w:fldChar w:fldCharType="end"/>
    </w:r>
  </w:p>
  <w:p w14:paraId="4CF5CAA9" w14:textId="77777777" w:rsidR="00021ED2" w:rsidRDefault="00021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B09A" w14:textId="77777777" w:rsidR="00D51161" w:rsidRDefault="00D51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EB4B" w14:textId="77777777" w:rsidR="00D51161" w:rsidRDefault="00D51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5CAA4" w14:textId="77777777" w:rsidR="00476EFB" w:rsidRDefault="00476EFB">
      <w:r>
        <w:separator/>
      </w:r>
    </w:p>
  </w:footnote>
  <w:footnote w:type="continuationSeparator" w:id="0">
    <w:p w14:paraId="4CF5CAA5" w14:textId="77777777" w:rsidR="00476EFB" w:rsidRDefault="00476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0AC5" w14:textId="77777777" w:rsidR="00D51161" w:rsidRDefault="00D51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26F9" w14:textId="645637CB" w:rsidR="00D51161" w:rsidRPr="00D51161" w:rsidRDefault="00D51161" w:rsidP="00D51161">
    <w:pPr>
      <w:pStyle w:val="Header"/>
      <w:jc w:val="right"/>
      <w:rPr>
        <w:b/>
        <w:bCs/>
        <w:color w:val="174E86"/>
        <w:sz w:val="28"/>
        <w:szCs w:val="28"/>
      </w:rPr>
    </w:pPr>
    <w:r>
      <w:rPr>
        <w:b/>
        <w:bCs/>
        <w:color w:val="174E86"/>
        <w:sz w:val="28"/>
        <w:szCs w:val="28"/>
      </w:rPr>
      <w:t>Attachment 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0D95B" w14:textId="77777777" w:rsidR="00D51161" w:rsidRDefault="00D5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417F"/>
    <w:multiLevelType w:val="hybridMultilevel"/>
    <w:tmpl w:val="DCFE9C2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FB57D69"/>
    <w:multiLevelType w:val="hybridMultilevel"/>
    <w:tmpl w:val="D3202D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5227520"/>
    <w:multiLevelType w:val="hybridMultilevel"/>
    <w:tmpl w:val="F04AEBF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1F1"/>
    <w:rsid w:val="00021ED2"/>
    <w:rsid w:val="000333D9"/>
    <w:rsid w:val="000451F4"/>
    <w:rsid w:val="0005398C"/>
    <w:rsid w:val="0008051C"/>
    <w:rsid w:val="000B2B58"/>
    <w:rsid w:val="000B3C70"/>
    <w:rsid w:val="000B5C99"/>
    <w:rsid w:val="00114F3D"/>
    <w:rsid w:val="001255B5"/>
    <w:rsid w:val="00156523"/>
    <w:rsid w:val="0016272C"/>
    <w:rsid w:val="001716F2"/>
    <w:rsid w:val="00185066"/>
    <w:rsid w:val="00192E1C"/>
    <w:rsid w:val="001E6A69"/>
    <w:rsid w:val="001F2B1A"/>
    <w:rsid w:val="00217951"/>
    <w:rsid w:val="00240454"/>
    <w:rsid w:val="0024218F"/>
    <w:rsid w:val="002C2CD5"/>
    <w:rsid w:val="002E7142"/>
    <w:rsid w:val="003558D3"/>
    <w:rsid w:val="003667D2"/>
    <w:rsid w:val="003A51F1"/>
    <w:rsid w:val="003C042F"/>
    <w:rsid w:val="003D08C3"/>
    <w:rsid w:val="003E4F02"/>
    <w:rsid w:val="00411DF9"/>
    <w:rsid w:val="00450BB4"/>
    <w:rsid w:val="0046433C"/>
    <w:rsid w:val="00467581"/>
    <w:rsid w:val="00476EFB"/>
    <w:rsid w:val="00490194"/>
    <w:rsid w:val="004A5975"/>
    <w:rsid w:val="00501B1D"/>
    <w:rsid w:val="00505F2E"/>
    <w:rsid w:val="00567A4D"/>
    <w:rsid w:val="005B55BB"/>
    <w:rsid w:val="005C52FC"/>
    <w:rsid w:val="005E7839"/>
    <w:rsid w:val="00613D3D"/>
    <w:rsid w:val="00627E1B"/>
    <w:rsid w:val="00636A3B"/>
    <w:rsid w:val="00644874"/>
    <w:rsid w:val="00654016"/>
    <w:rsid w:val="006541C3"/>
    <w:rsid w:val="00654690"/>
    <w:rsid w:val="007323EC"/>
    <w:rsid w:val="00762617"/>
    <w:rsid w:val="007A5A4B"/>
    <w:rsid w:val="007A7F89"/>
    <w:rsid w:val="007C6C2C"/>
    <w:rsid w:val="007D09AD"/>
    <w:rsid w:val="007E2302"/>
    <w:rsid w:val="007E584E"/>
    <w:rsid w:val="00820113"/>
    <w:rsid w:val="00856674"/>
    <w:rsid w:val="0086438D"/>
    <w:rsid w:val="008975E2"/>
    <w:rsid w:val="008B5628"/>
    <w:rsid w:val="008E1FF0"/>
    <w:rsid w:val="00903397"/>
    <w:rsid w:val="0091183A"/>
    <w:rsid w:val="00933680"/>
    <w:rsid w:val="00945AB3"/>
    <w:rsid w:val="00961726"/>
    <w:rsid w:val="009738B5"/>
    <w:rsid w:val="009962FF"/>
    <w:rsid w:val="009A7263"/>
    <w:rsid w:val="009C634C"/>
    <w:rsid w:val="00A67CD7"/>
    <w:rsid w:val="00A8627B"/>
    <w:rsid w:val="00A87DBE"/>
    <w:rsid w:val="00B02B6D"/>
    <w:rsid w:val="00B8795E"/>
    <w:rsid w:val="00BA0B06"/>
    <w:rsid w:val="00BA1BBE"/>
    <w:rsid w:val="00BB365A"/>
    <w:rsid w:val="00BB714A"/>
    <w:rsid w:val="00BC6985"/>
    <w:rsid w:val="00BE1706"/>
    <w:rsid w:val="00BE27EA"/>
    <w:rsid w:val="00BE42A1"/>
    <w:rsid w:val="00C11846"/>
    <w:rsid w:val="00C37080"/>
    <w:rsid w:val="00C54839"/>
    <w:rsid w:val="00C95422"/>
    <w:rsid w:val="00CB3B10"/>
    <w:rsid w:val="00CD5B0D"/>
    <w:rsid w:val="00CE22AD"/>
    <w:rsid w:val="00CF006A"/>
    <w:rsid w:val="00D141B4"/>
    <w:rsid w:val="00D14461"/>
    <w:rsid w:val="00D51161"/>
    <w:rsid w:val="00D71AB1"/>
    <w:rsid w:val="00D87877"/>
    <w:rsid w:val="00DA7146"/>
    <w:rsid w:val="00DD575E"/>
    <w:rsid w:val="00E56CFA"/>
    <w:rsid w:val="00ED71F6"/>
    <w:rsid w:val="00F00551"/>
    <w:rsid w:val="00F070B8"/>
    <w:rsid w:val="00F13DA5"/>
    <w:rsid w:val="00F54E01"/>
    <w:rsid w:val="00F56601"/>
    <w:rsid w:val="00F60B6F"/>
    <w:rsid w:val="00F73B7F"/>
    <w:rsid w:val="00F83347"/>
    <w:rsid w:val="00FA22CA"/>
    <w:rsid w:val="00FC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5CA3C"/>
  <w15:docId w15:val="{6CDD3BED-662A-473B-9AB0-83A3893E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1F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1FF0"/>
    <w:rPr>
      <w:color w:val="0000FF"/>
      <w:u w:val="single"/>
    </w:rPr>
  </w:style>
  <w:style w:type="paragraph" w:styleId="Footer">
    <w:name w:val="footer"/>
    <w:basedOn w:val="Normal"/>
    <w:link w:val="FooterChar"/>
    <w:uiPriority w:val="99"/>
    <w:rsid w:val="00CD5B0D"/>
    <w:pPr>
      <w:tabs>
        <w:tab w:val="center" w:pos="4320"/>
        <w:tab w:val="right" w:pos="8640"/>
      </w:tabs>
    </w:pPr>
  </w:style>
  <w:style w:type="character" w:styleId="PageNumber">
    <w:name w:val="page number"/>
    <w:basedOn w:val="DefaultParagraphFont"/>
    <w:rsid w:val="00CD5B0D"/>
  </w:style>
  <w:style w:type="paragraph" w:styleId="BalloonText">
    <w:name w:val="Balloon Text"/>
    <w:basedOn w:val="Normal"/>
    <w:semiHidden/>
    <w:rsid w:val="00CD5B0D"/>
    <w:rPr>
      <w:rFonts w:ascii="Tahoma" w:hAnsi="Tahoma" w:cs="Tahoma"/>
      <w:sz w:val="16"/>
      <w:szCs w:val="16"/>
    </w:rPr>
  </w:style>
  <w:style w:type="paragraph" w:styleId="BodyText">
    <w:name w:val="Body Text"/>
    <w:basedOn w:val="Normal"/>
    <w:rsid w:val="001E6A69"/>
    <w:pPr>
      <w:jc w:val="center"/>
    </w:pPr>
    <w:rPr>
      <w:szCs w:val="20"/>
      <w:u w:val="single"/>
    </w:rPr>
  </w:style>
  <w:style w:type="paragraph" w:styleId="Header">
    <w:name w:val="header"/>
    <w:basedOn w:val="Normal"/>
    <w:link w:val="HeaderChar"/>
    <w:rsid w:val="00021ED2"/>
    <w:pPr>
      <w:tabs>
        <w:tab w:val="center" w:pos="4680"/>
        <w:tab w:val="right" w:pos="9360"/>
      </w:tabs>
    </w:pPr>
  </w:style>
  <w:style w:type="character" w:customStyle="1" w:styleId="HeaderChar">
    <w:name w:val="Header Char"/>
    <w:basedOn w:val="DefaultParagraphFont"/>
    <w:link w:val="Header"/>
    <w:rsid w:val="00021ED2"/>
    <w:rPr>
      <w:rFonts w:ascii="Arial" w:hAnsi="Arial"/>
      <w:sz w:val="24"/>
      <w:szCs w:val="24"/>
    </w:rPr>
  </w:style>
  <w:style w:type="character" w:customStyle="1" w:styleId="FooterChar">
    <w:name w:val="Footer Char"/>
    <w:basedOn w:val="DefaultParagraphFont"/>
    <w:link w:val="Footer"/>
    <w:uiPriority w:val="99"/>
    <w:rsid w:val="00021ED2"/>
    <w:rPr>
      <w:rFonts w:ascii="Arial" w:hAnsi="Arial"/>
      <w:sz w:val="24"/>
      <w:szCs w:val="24"/>
    </w:rPr>
  </w:style>
  <w:style w:type="character" w:styleId="FollowedHyperlink">
    <w:name w:val="FollowedHyperlink"/>
    <w:basedOn w:val="DefaultParagraphFont"/>
    <w:uiPriority w:val="99"/>
    <w:unhideWhenUsed/>
    <w:rsid w:val="00021ED2"/>
    <w:rPr>
      <w:color w:val="800080"/>
      <w:u w:val="single"/>
    </w:rPr>
  </w:style>
  <w:style w:type="paragraph" w:customStyle="1" w:styleId="xl63">
    <w:name w:val="xl63"/>
    <w:basedOn w:val="Normal"/>
    <w:rsid w:val="00021ED2"/>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Times New Roman" w:hAnsi="Times New Roman"/>
    </w:rPr>
  </w:style>
  <w:style w:type="paragraph" w:customStyle="1" w:styleId="xl64">
    <w:name w:val="xl64"/>
    <w:basedOn w:val="Normal"/>
    <w:rsid w:val="00021ED2"/>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rPr>
  </w:style>
  <w:style w:type="paragraph" w:customStyle="1" w:styleId="xl65">
    <w:name w:val="xl65"/>
    <w:basedOn w:val="Normal"/>
    <w:rsid w:val="00021ED2"/>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rPr>
  </w:style>
  <w:style w:type="paragraph" w:customStyle="1" w:styleId="xl66">
    <w:name w:val="xl66"/>
    <w:basedOn w:val="Normal"/>
    <w:rsid w:val="00021ED2"/>
    <w:pPr>
      <w:spacing w:before="100" w:beforeAutospacing="1" w:after="100" w:afterAutospacing="1"/>
      <w:jc w:val="right"/>
    </w:pPr>
    <w:rPr>
      <w:rFonts w:ascii="Times New Roman" w:hAnsi="Times New Roman"/>
    </w:rPr>
  </w:style>
  <w:style w:type="paragraph" w:customStyle="1" w:styleId="xl67">
    <w:name w:val="xl67"/>
    <w:basedOn w:val="Normal"/>
    <w:rsid w:val="00021ED2"/>
    <w:pPr>
      <w:spacing w:before="100" w:beforeAutospacing="1" w:after="100" w:afterAutospacing="1"/>
    </w:pPr>
    <w:rPr>
      <w:rFonts w:cs="Arial"/>
      <w:b/>
      <w:bCs/>
    </w:rPr>
  </w:style>
  <w:style w:type="paragraph" w:customStyle="1" w:styleId="xl68">
    <w:name w:val="xl68"/>
    <w:basedOn w:val="Normal"/>
    <w:rsid w:val="00021ED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rPr>
  </w:style>
  <w:style w:type="paragraph" w:customStyle="1" w:styleId="xl69">
    <w:name w:val="xl69"/>
    <w:basedOn w:val="Normal"/>
    <w:rsid w:val="00021ED2"/>
    <w:pPr>
      <w:spacing w:before="100" w:beforeAutospacing="1" w:after="100" w:afterAutospacing="1"/>
    </w:pPr>
    <w:rPr>
      <w:rFonts w:cs="Arial"/>
    </w:rPr>
  </w:style>
  <w:style w:type="paragraph" w:customStyle="1" w:styleId="xl70">
    <w:name w:val="xl70"/>
    <w:basedOn w:val="Normal"/>
    <w:rsid w:val="00021ED2"/>
    <w:pPr>
      <w:spacing w:before="100" w:beforeAutospacing="1" w:after="100" w:afterAutospacing="1"/>
    </w:pPr>
    <w:rPr>
      <w:rFonts w:ascii="Times New Roman" w:hAnsi="Times New Roman"/>
    </w:rPr>
  </w:style>
  <w:style w:type="paragraph" w:customStyle="1" w:styleId="xl71">
    <w:name w:val="xl71"/>
    <w:basedOn w:val="Normal"/>
    <w:rsid w:val="00021ED2"/>
    <w:pPr>
      <w:spacing w:before="100" w:beforeAutospacing="1" w:after="100" w:afterAutospacing="1"/>
    </w:pPr>
    <w:rPr>
      <w:rFonts w:cs="Arial"/>
      <w:color w:val="FF0000"/>
    </w:rPr>
  </w:style>
  <w:style w:type="paragraph" w:customStyle="1" w:styleId="xl72">
    <w:name w:val="xl72"/>
    <w:basedOn w:val="Normal"/>
    <w:rsid w:val="005B55BB"/>
    <w:pPr>
      <w:spacing w:before="100" w:beforeAutospacing="1" w:after="100" w:afterAutospacing="1"/>
    </w:pPr>
    <w:rPr>
      <w:rFonts w:ascii="Times New Roman" w:hAnsi="Times New Roman"/>
    </w:rPr>
  </w:style>
  <w:style w:type="paragraph" w:customStyle="1" w:styleId="xl73">
    <w:name w:val="xl73"/>
    <w:basedOn w:val="Normal"/>
    <w:rsid w:val="005B55BB"/>
    <w:pPr>
      <w:spacing w:before="100" w:beforeAutospacing="1" w:after="100" w:afterAutospacing="1"/>
    </w:pPr>
    <w:rPr>
      <w:rFonts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0190">
      <w:bodyDiv w:val="1"/>
      <w:marLeft w:val="0"/>
      <w:marRight w:val="0"/>
      <w:marTop w:val="0"/>
      <w:marBottom w:val="0"/>
      <w:divBdr>
        <w:top w:val="none" w:sz="0" w:space="0" w:color="auto"/>
        <w:left w:val="none" w:sz="0" w:space="0" w:color="auto"/>
        <w:bottom w:val="none" w:sz="0" w:space="0" w:color="auto"/>
        <w:right w:val="none" w:sz="0" w:space="0" w:color="auto"/>
      </w:divBdr>
    </w:div>
    <w:div w:id="9243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State of Alabama, along with large areas in the States of Mississippi and Louisiana, was hit by the strong force of Hurricane Katrina and resultant flooding during the month of August 2005</vt:lpstr>
    </vt:vector>
  </TitlesOfParts>
  <Company>State of Alabama DECA</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Alabama, along with large areas in the States of Mississippi and Louisiana, was hit by the strong force of Hurricane Katrina and resultant flooding during the month of August 2005</dc:title>
  <dc:creator>Maureen.Neighbors</dc:creator>
  <cp:lastModifiedBy>Kathleen Weissenberger</cp:lastModifiedBy>
  <cp:revision>4</cp:revision>
  <cp:lastPrinted>2008-12-12T18:48:00Z</cp:lastPrinted>
  <dcterms:created xsi:type="dcterms:W3CDTF">2017-10-14T18:20:00Z</dcterms:created>
  <dcterms:modified xsi:type="dcterms:W3CDTF">2020-04-24T14:48:00Z</dcterms:modified>
</cp:coreProperties>
</file>