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96F" w:rsidRDefault="00B1096F" w:rsidP="008151BE">
      <w:pPr>
        <w:jc w:val="center"/>
        <w:rPr>
          <w:b/>
          <w:sz w:val="44"/>
          <w:szCs w:val="120"/>
        </w:rPr>
      </w:pPr>
      <w:r>
        <w:rPr>
          <w:b/>
          <w:noProof/>
          <w:sz w:val="44"/>
          <w:szCs w:val="1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5783504</wp:posOffset>
            </wp:positionH>
            <wp:positionV relativeFrom="paragraph">
              <wp:posOffset>-539826</wp:posOffset>
            </wp:positionV>
            <wp:extent cx="600075" cy="638175"/>
            <wp:effectExtent l="0" t="0" r="9525" b="9525"/>
            <wp:wrapTight wrapText="bothSides">
              <wp:wrapPolygon edited="0">
                <wp:start x="0" y="0"/>
                <wp:lineTo x="0" y="21278"/>
                <wp:lineTo x="21257" y="21278"/>
                <wp:lineTo x="212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C11" w:rsidRPr="00B1096F" w:rsidRDefault="00B1096F" w:rsidP="008151BE">
      <w:pPr>
        <w:jc w:val="center"/>
        <w:rPr>
          <w:b/>
          <w:color w:val="0070C0"/>
          <w:sz w:val="44"/>
          <w:szCs w:val="120"/>
          <w:u w:val="single"/>
        </w:rPr>
      </w:pPr>
      <w:r w:rsidRPr="00B1096F">
        <w:rPr>
          <w:b/>
          <w:color w:val="0070C0"/>
          <w:sz w:val="44"/>
          <w:szCs w:val="120"/>
          <w:u w:val="single"/>
        </w:rPr>
        <w:t>L</w:t>
      </w:r>
      <w:r w:rsidR="00B856AC" w:rsidRPr="00B1096F">
        <w:rPr>
          <w:b/>
          <w:color w:val="0070C0"/>
          <w:sz w:val="44"/>
          <w:szCs w:val="120"/>
          <w:u w:val="single"/>
        </w:rPr>
        <w:t xml:space="preserve">ocal Health Department </w:t>
      </w:r>
      <w:r w:rsidR="0050214F">
        <w:rPr>
          <w:b/>
          <w:color w:val="0070C0"/>
          <w:sz w:val="44"/>
          <w:szCs w:val="120"/>
          <w:u w:val="single"/>
        </w:rPr>
        <w:t>R</w:t>
      </w:r>
      <w:r w:rsidR="00B856AC" w:rsidRPr="00B1096F">
        <w:rPr>
          <w:b/>
          <w:color w:val="0070C0"/>
          <w:sz w:val="44"/>
          <w:szCs w:val="120"/>
          <w:u w:val="single"/>
        </w:rPr>
        <w:t>oles</w:t>
      </w:r>
      <w:r w:rsidR="00B856AC" w:rsidRPr="00B1096F">
        <w:rPr>
          <w:b/>
          <w:color w:val="0070C0"/>
          <w:sz w:val="44"/>
          <w:szCs w:val="120"/>
        </w:rPr>
        <w:t>:</w:t>
      </w:r>
    </w:p>
    <w:p w:rsidR="00EA336A" w:rsidRDefault="00EA336A" w:rsidP="008151BE">
      <w:pPr>
        <w:jc w:val="center"/>
        <w:rPr>
          <w:b/>
          <w:sz w:val="44"/>
          <w:szCs w:val="120"/>
        </w:rPr>
      </w:pPr>
    </w:p>
    <w:p w:rsidR="00B856AC" w:rsidRPr="00AE2C12" w:rsidRDefault="00B856AC" w:rsidP="00B856AC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AE2C12">
        <w:rPr>
          <w:sz w:val="36"/>
          <w:szCs w:val="36"/>
        </w:rPr>
        <w:t xml:space="preserve">Receive copy of lead inspection and testing summary form </w:t>
      </w:r>
    </w:p>
    <w:p w:rsidR="00B856AC" w:rsidRPr="00AE2C12" w:rsidRDefault="00B856AC" w:rsidP="00B856AC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AE2C12">
        <w:rPr>
          <w:sz w:val="36"/>
          <w:szCs w:val="36"/>
        </w:rPr>
        <w:t xml:space="preserve">Review lead inspection and testing summary form for completeness </w:t>
      </w:r>
      <w:r w:rsidRPr="00EA336A">
        <w:rPr>
          <w:sz w:val="28"/>
          <w:szCs w:val="36"/>
        </w:rPr>
        <w:t>(</w:t>
      </w:r>
      <w:r w:rsidR="00E36FD8" w:rsidRPr="00EA336A">
        <w:rPr>
          <w:sz w:val="28"/>
          <w:szCs w:val="36"/>
        </w:rPr>
        <w:t>needs to be comprehensive – dust, water, bare soil, painted surfaces</w:t>
      </w:r>
      <w:r w:rsidRPr="00EA336A">
        <w:rPr>
          <w:sz w:val="28"/>
          <w:szCs w:val="36"/>
        </w:rPr>
        <w:t xml:space="preserve">) </w:t>
      </w:r>
    </w:p>
    <w:p w:rsidR="00B856AC" w:rsidRDefault="00B856AC" w:rsidP="00B856AC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AE2C12">
        <w:rPr>
          <w:sz w:val="36"/>
          <w:szCs w:val="36"/>
        </w:rPr>
        <w:t>Issue a</w:t>
      </w:r>
      <w:r w:rsidR="00E36FD8">
        <w:rPr>
          <w:sz w:val="36"/>
          <w:szCs w:val="36"/>
        </w:rPr>
        <w:t xml:space="preserve">n </w:t>
      </w:r>
      <w:r w:rsidRPr="00AE2C12">
        <w:rPr>
          <w:sz w:val="36"/>
          <w:szCs w:val="36"/>
        </w:rPr>
        <w:t>order letter to property owner to abate</w:t>
      </w:r>
      <w:r w:rsidR="003E04DE" w:rsidRPr="00AE2C12">
        <w:rPr>
          <w:sz w:val="36"/>
          <w:szCs w:val="36"/>
        </w:rPr>
        <w:t xml:space="preserve"> </w:t>
      </w:r>
      <w:r w:rsidRPr="00AE2C12">
        <w:rPr>
          <w:sz w:val="36"/>
          <w:szCs w:val="36"/>
        </w:rPr>
        <w:t>defective/hazardous leaded surfaces</w:t>
      </w:r>
    </w:p>
    <w:p w:rsidR="00E36FD8" w:rsidRDefault="00E36FD8" w:rsidP="00E36FD8">
      <w:pPr>
        <w:pStyle w:val="ListParagraph"/>
        <w:numPr>
          <w:ilvl w:val="2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EBLL order letter</w:t>
      </w:r>
      <w:r w:rsidR="00B1096F">
        <w:rPr>
          <w:sz w:val="36"/>
          <w:szCs w:val="36"/>
        </w:rPr>
        <w:t xml:space="preserve"> </w:t>
      </w:r>
      <w:r w:rsidR="00B1096F" w:rsidRPr="00B1096F">
        <w:rPr>
          <w:sz w:val="28"/>
          <w:szCs w:val="36"/>
        </w:rPr>
        <w:t>(</w:t>
      </w:r>
      <w:r w:rsidR="00B1096F" w:rsidRPr="00B1096F">
        <w:rPr>
          <w:color w:val="FF0000"/>
          <w:sz w:val="28"/>
          <w:szCs w:val="36"/>
        </w:rPr>
        <w:t>for CT and HUD definitions</w:t>
      </w:r>
      <w:r w:rsidR="00B1096F">
        <w:rPr>
          <w:color w:val="FF0000"/>
          <w:sz w:val="28"/>
          <w:szCs w:val="36"/>
        </w:rPr>
        <w:t>:</w:t>
      </w:r>
      <w:r w:rsidR="00B1096F" w:rsidRPr="00B1096F">
        <w:rPr>
          <w:color w:val="FF0000"/>
          <w:sz w:val="28"/>
          <w:szCs w:val="36"/>
        </w:rPr>
        <w:t xml:space="preserve"> any venous test </w:t>
      </w:r>
      <w:r w:rsidR="00B1096F" w:rsidRPr="00B1096F">
        <w:rPr>
          <w:rFonts w:cstheme="minorHAnsi"/>
          <w:color w:val="FF0000"/>
          <w:sz w:val="28"/>
          <w:szCs w:val="36"/>
        </w:rPr>
        <w:t>≥ 20 µg/dL</w:t>
      </w:r>
      <w:r w:rsidR="00B1096F" w:rsidRPr="00B1096F">
        <w:rPr>
          <w:rFonts w:cstheme="minorHAnsi"/>
          <w:sz w:val="28"/>
          <w:szCs w:val="36"/>
        </w:rPr>
        <w:t>)</w:t>
      </w:r>
      <w:r w:rsidRPr="00B1096F">
        <w:rPr>
          <w:sz w:val="28"/>
          <w:szCs w:val="36"/>
        </w:rPr>
        <w:t xml:space="preserve"> </w:t>
      </w:r>
      <w:r w:rsidRPr="00B1096F">
        <w:rPr>
          <w:sz w:val="28"/>
          <w:szCs w:val="28"/>
        </w:rPr>
        <w:t xml:space="preserve">– </w:t>
      </w:r>
      <w:r w:rsidR="00EA336A" w:rsidRPr="00B1096F">
        <w:rPr>
          <w:sz w:val="28"/>
          <w:szCs w:val="28"/>
        </w:rPr>
        <w:t>a</w:t>
      </w:r>
      <w:r w:rsidR="00EA336A" w:rsidRPr="00EA336A">
        <w:rPr>
          <w:sz w:val="28"/>
          <w:szCs w:val="36"/>
        </w:rPr>
        <w:t xml:space="preserve">bate all defective lead-based surfaces (interior, exterior and common areas), </w:t>
      </w:r>
      <w:r w:rsidR="00EA336A">
        <w:rPr>
          <w:sz w:val="28"/>
          <w:szCs w:val="36"/>
        </w:rPr>
        <w:t xml:space="preserve">all lead-based chewable surfaces and all movable parts of windows and surfaces that rub against movable part of windows, </w:t>
      </w:r>
      <w:r w:rsidR="00776461">
        <w:rPr>
          <w:sz w:val="28"/>
          <w:szCs w:val="36"/>
        </w:rPr>
        <w:t xml:space="preserve">abate soil hazards, </w:t>
      </w:r>
      <w:r w:rsidR="00EA336A" w:rsidRPr="00EA336A">
        <w:rPr>
          <w:sz w:val="28"/>
          <w:szCs w:val="36"/>
        </w:rPr>
        <w:t>reduce dust hazards with cleaning, remediate water, manage intact lead-based surfaces</w:t>
      </w:r>
    </w:p>
    <w:p w:rsidR="00E36FD8" w:rsidRDefault="00E36FD8" w:rsidP="00E36FD8">
      <w:pPr>
        <w:pStyle w:val="ListParagraph"/>
        <w:numPr>
          <w:ilvl w:val="2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Non-EBLL order letter</w:t>
      </w:r>
      <w:r w:rsidR="00B1096F">
        <w:rPr>
          <w:sz w:val="36"/>
          <w:szCs w:val="36"/>
        </w:rPr>
        <w:t xml:space="preserve"> </w:t>
      </w:r>
      <w:r w:rsidR="00B1096F" w:rsidRPr="00B1096F">
        <w:rPr>
          <w:sz w:val="28"/>
          <w:szCs w:val="36"/>
        </w:rPr>
        <w:t>(</w:t>
      </w:r>
      <w:r w:rsidR="00B1096F" w:rsidRPr="00B1096F">
        <w:rPr>
          <w:color w:val="FF0000"/>
          <w:sz w:val="28"/>
          <w:szCs w:val="36"/>
        </w:rPr>
        <w:t>for HUD definitions</w:t>
      </w:r>
      <w:r w:rsidR="00B1096F">
        <w:rPr>
          <w:color w:val="FF0000"/>
          <w:sz w:val="28"/>
          <w:szCs w:val="36"/>
        </w:rPr>
        <w:t>:</w:t>
      </w:r>
      <w:r w:rsidR="00B1096F" w:rsidRPr="00B1096F">
        <w:rPr>
          <w:color w:val="FF0000"/>
          <w:sz w:val="28"/>
          <w:szCs w:val="36"/>
        </w:rPr>
        <w:t xml:space="preserve"> any venous test </w:t>
      </w:r>
      <w:r w:rsidR="00B1096F" w:rsidRPr="00B1096F">
        <w:rPr>
          <w:rFonts w:cstheme="minorHAnsi"/>
          <w:color w:val="FF0000"/>
          <w:sz w:val="28"/>
          <w:szCs w:val="36"/>
        </w:rPr>
        <w:t>≥ 5 µg/dL and ≤ 19 µg/dL</w:t>
      </w:r>
      <w:r w:rsidR="00B1096F" w:rsidRPr="00B1096F">
        <w:rPr>
          <w:rFonts w:cstheme="minorHAnsi"/>
          <w:sz w:val="28"/>
          <w:szCs w:val="36"/>
        </w:rPr>
        <w:t>)</w:t>
      </w:r>
      <w:r w:rsidRPr="00B1096F">
        <w:rPr>
          <w:sz w:val="28"/>
          <w:szCs w:val="36"/>
        </w:rPr>
        <w:t xml:space="preserve"> – </w:t>
      </w:r>
      <w:r w:rsidRPr="00EA336A">
        <w:rPr>
          <w:sz w:val="28"/>
          <w:szCs w:val="36"/>
        </w:rPr>
        <w:t xml:space="preserve">abate all defective lead-based surfaces </w:t>
      </w:r>
      <w:r w:rsidR="006E1960" w:rsidRPr="00EA336A">
        <w:rPr>
          <w:sz w:val="28"/>
          <w:szCs w:val="36"/>
        </w:rPr>
        <w:t>(</w:t>
      </w:r>
      <w:r w:rsidRPr="00EA336A">
        <w:rPr>
          <w:sz w:val="28"/>
          <w:szCs w:val="36"/>
        </w:rPr>
        <w:t>interior, exterior and common areas</w:t>
      </w:r>
      <w:r w:rsidR="006E1960" w:rsidRPr="00EA336A">
        <w:rPr>
          <w:sz w:val="28"/>
          <w:szCs w:val="36"/>
        </w:rPr>
        <w:t>)</w:t>
      </w:r>
      <w:r w:rsidRPr="00EA336A">
        <w:rPr>
          <w:sz w:val="28"/>
          <w:szCs w:val="36"/>
        </w:rPr>
        <w:t xml:space="preserve">, </w:t>
      </w:r>
      <w:r w:rsidR="00776461">
        <w:rPr>
          <w:sz w:val="28"/>
          <w:szCs w:val="36"/>
        </w:rPr>
        <w:t xml:space="preserve">abate soil hazards, </w:t>
      </w:r>
      <w:r w:rsidRPr="00EA336A">
        <w:rPr>
          <w:sz w:val="28"/>
          <w:szCs w:val="36"/>
        </w:rPr>
        <w:t xml:space="preserve">reduce </w:t>
      </w:r>
      <w:r w:rsidR="006E1960" w:rsidRPr="00EA336A">
        <w:rPr>
          <w:sz w:val="28"/>
          <w:szCs w:val="36"/>
        </w:rPr>
        <w:t>dust hazards with cleaning, remediate water, manage intact lead-based surfaces</w:t>
      </w:r>
    </w:p>
    <w:p w:rsidR="00262BA1" w:rsidRPr="00262BA1" w:rsidRDefault="00B856AC" w:rsidP="00262BA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AE2C12">
        <w:rPr>
          <w:sz w:val="36"/>
          <w:szCs w:val="36"/>
        </w:rPr>
        <w:t>Receive an abatement plan from the property owner</w:t>
      </w:r>
      <w:r w:rsidR="00EA336A">
        <w:rPr>
          <w:sz w:val="36"/>
          <w:szCs w:val="36"/>
        </w:rPr>
        <w:t xml:space="preserve"> </w:t>
      </w:r>
      <w:r w:rsidR="00EA336A" w:rsidRPr="00EA336A">
        <w:rPr>
          <w:sz w:val="28"/>
          <w:szCs w:val="36"/>
        </w:rPr>
        <w:t xml:space="preserve">(EBLL – within </w:t>
      </w:r>
      <w:r w:rsidR="00EA336A">
        <w:rPr>
          <w:sz w:val="28"/>
          <w:szCs w:val="36"/>
        </w:rPr>
        <w:t>1</w:t>
      </w:r>
      <w:r w:rsidR="00EA336A" w:rsidRPr="00EA336A">
        <w:rPr>
          <w:sz w:val="28"/>
          <w:szCs w:val="36"/>
        </w:rPr>
        <w:t>5 days, Non-EBLL</w:t>
      </w:r>
      <w:r w:rsidRPr="00EA336A">
        <w:rPr>
          <w:sz w:val="28"/>
          <w:szCs w:val="36"/>
        </w:rPr>
        <w:t xml:space="preserve"> within </w:t>
      </w:r>
      <w:r w:rsidR="003E04DE" w:rsidRPr="00EA336A">
        <w:rPr>
          <w:sz w:val="28"/>
          <w:szCs w:val="36"/>
        </w:rPr>
        <w:t>20 days</w:t>
      </w:r>
      <w:r w:rsidR="00EA336A" w:rsidRPr="00EA336A">
        <w:rPr>
          <w:sz w:val="28"/>
          <w:szCs w:val="36"/>
        </w:rPr>
        <w:t>)</w:t>
      </w:r>
    </w:p>
    <w:p w:rsidR="00262BA1" w:rsidRPr="00262BA1" w:rsidRDefault="003E04DE" w:rsidP="00262BA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262BA1">
        <w:rPr>
          <w:sz w:val="36"/>
          <w:szCs w:val="36"/>
        </w:rPr>
        <w:t>Approve the abatement plan</w:t>
      </w:r>
      <w:r w:rsidR="00EA336A" w:rsidRPr="00262BA1">
        <w:rPr>
          <w:sz w:val="36"/>
          <w:szCs w:val="36"/>
        </w:rPr>
        <w:t xml:space="preserve"> </w:t>
      </w:r>
      <w:r w:rsidR="00EA336A" w:rsidRPr="00262BA1">
        <w:rPr>
          <w:sz w:val="28"/>
          <w:szCs w:val="36"/>
        </w:rPr>
        <w:t>(EBLL within 10 days, Non-EBLL</w:t>
      </w:r>
      <w:r w:rsidRPr="00262BA1">
        <w:rPr>
          <w:sz w:val="28"/>
          <w:szCs w:val="36"/>
        </w:rPr>
        <w:t xml:space="preserve"> within 15 days</w:t>
      </w:r>
      <w:r w:rsidR="00EA336A" w:rsidRPr="00262BA1">
        <w:rPr>
          <w:sz w:val="28"/>
          <w:szCs w:val="36"/>
        </w:rPr>
        <w:t>)</w:t>
      </w:r>
    </w:p>
    <w:p w:rsidR="003E04DE" w:rsidRPr="00B1096F" w:rsidRDefault="003E04DE" w:rsidP="00262BA1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262BA1">
        <w:rPr>
          <w:sz w:val="36"/>
          <w:szCs w:val="36"/>
        </w:rPr>
        <w:t xml:space="preserve">Abatement shall begin </w:t>
      </w:r>
      <w:r w:rsidR="00EA336A" w:rsidRPr="00262BA1">
        <w:rPr>
          <w:sz w:val="28"/>
          <w:szCs w:val="36"/>
        </w:rPr>
        <w:t xml:space="preserve">(EBLL – within 45 days, Non-EBLL </w:t>
      </w:r>
      <w:r w:rsidRPr="00262BA1">
        <w:rPr>
          <w:sz w:val="28"/>
          <w:szCs w:val="36"/>
        </w:rPr>
        <w:t xml:space="preserve">within </w:t>
      </w:r>
      <w:r w:rsidR="00EA336A" w:rsidRPr="00262BA1">
        <w:rPr>
          <w:sz w:val="28"/>
          <w:szCs w:val="36"/>
        </w:rPr>
        <w:t xml:space="preserve">   </w:t>
      </w:r>
      <w:r w:rsidRPr="00262BA1">
        <w:rPr>
          <w:sz w:val="28"/>
          <w:szCs w:val="36"/>
        </w:rPr>
        <w:t>90 days</w:t>
      </w:r>
      <w:r w:rsidR="00EA336A" w:rsidRPr="00262BA1">
        <w:rPr>
          <w:sz w:val="28"/>
          <w:szCs w:val="36"/>
        </w:rPr>
        <w:t>)</w:t>
      </w:r>
    </w:p>
    <w:p w:rsidR="00B1096F" w:rsidRDefault="00B1096F" w:rsidP="00B1096F">
      <w:pPr>
        <w:pStyle w:val="ListParagraph"/>
        <w:tabs>
          <w:tab w:val="left" w:pos="9180"/>
        </w:tabs>
        <w:ind w:left="1080"/>
        <w:rPr>
          <w:sz w:val="28"/>
          <w:szCs w:val="36"/>
        </w:rPr>
      </w:pPr>
    </w:p>
    <w:p w:rsidR="00B1096F" w:rsidRDefault="00B1096F" w:rsidP="00B1096F">
      <w:pPr>
        <w:pStyle w:val="ListParagraph"/>
        <w:ind w:left="1080"/>
        <w:rPr>
          <w:sz w:val="36"/>
          <w:szCs w:val="36"/>
        </w:rPr>
      </w:pPr>
      <w:r>
        <w:rPr>
          <w:b/>
          <w:noProof/>
          <w:sz w:val="44"/>
          <w:szCs w:val="120"/>
        </w:rPr>
        <w:lastRenderedPageBreak/>
        <w:drawing>
          <wp:anchor distT="0" distB="0" distL="114300" distR="114300" simplePos="0" relativeHeight="251660288" behindDoc="1" locked="0" layoutInCell="1" allowOverlap="1" wp14:anchorId="5390A8B6" wp14:editId="6FA52BB3">
            <wp:simplePos x="0" y="0"/>
            <wp:positionH relativeFrom="column">
              <wp:posOffset>5794444</wp:posOffset>
            </wp:positionH>
            <wp:positionV relativeFrom="paragraph">
              <wp:posOffset>-528764</wp:posOffset>
            </wp:positionV>
            <wp:extent cx="600075" cy="638175"/>
            <wp:effectExtent l="0" t="0" r="9525" b="9525"/>
            <wp:wrapTight wrapText="bothSides">
              <wp:wrapPolygon edited="0">
                <wp:start x="0" y="0"/>
                <wp:lineTo x="0" y="21278"/>
                <wp:lineTo x="21257" y="21278"/>
                <wp:lineTo x="2125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96F" w:rsidRPr="00262BA1" w:rsidRDefault="00B1096F" w:rsidP="00B1096F">
      <w:pPr>
        <w:pStyle w:val="ListParagraph"/>
        <w:ind w:left="1080"/>
        <w:rPr>
          <w:sz w:val="36"/>
          <w:szCs w:val="36"/>
        </w:rPr>
      </w:pPr>
    </w:p>
    <w:p w:rsidR="003E04DE" w:rsidRPr="00AE2C12" w:rsidRDefault="003E04DE" w:rsidP="00B856AC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AE2C12">
        <w:rPr>
          <w:sz w:val="36"/>
          <w:szCs w:val="36"/>
        </w:rPr>
        <w:t>Work monitored by the LHD</w:t>
      </w:r>
    </w:p>
    <w:p w:rsidR="003E04DE" w:rsidRDefault="003E04DE" w:rsidP="00B856AC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AE2C12">
        <w:rPr>
          <w:sz w:val="36"/>
          <w:szCs w:val="36"/>
        </w:rPr>
        <w:t>If any abatement work needs a change order, it must be approved by the LHD</w:t>
      </w:r>
    </w:p>
    <w:p w:rsidR="003E04DE" w:rsidRPr="00AE2C12" w:rsidRDefault="003E04DE" w:rsidP="00B856AC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AE2C12">
        <w:rPr>
          <w:sz w:val="36"/>
          <w:szCs w:val="36"/>
        </w:rPr>
        <w:t xml:space="preserve">When work is complete, the LHD will conduct a </w:t>
      </w:r>
      <w:r w:rsidR="00EA336A">
        <w:rPr>
          <w:sz w:val="36"/>
          <w:szCs w:val="36"/>
        </w:rPr>
        <w:t xml:space="preserve">        </w:t>
      </w:r>
      <w:r w:rsidRPr="00AE2C12">
        <w:rPr>
          <w:sz w:val="36"/>
          <w:szCs w:val="36"/>
        </w:rPr>
        <w:t>post-abatement inspection</w:t>
      </w:r>
      <w:r w:rsidR="00776461">
        <w:rPr>
          <w:sz w:val="36"/>
          <w:szCs w:val="36"/>
        </w:rPr>
        <w:t xml:space="preserve"> (this can be done </w:t>
      </w:r>
      <w:bookmarkStart w:id="0" w:name="_GoBack"/>
      <w:bookmarkEnd w:id="0"/>
      <w:r w:rsidR="00776461">
        <w:rPr>
          <w:sz w:val="36"/>
          <w:szCs w:val="36"/>
        </w:rPr>
        <w:t>simuatanesouly with a lead consultant)</w:t>
      </w:r>
    </w:p>
    <w:p w:rsidR="003E04DE" w:rsidRPr="00AE2C12" w:rsidRDefault="003E04DE" w:rsidP="003E04DE">
      <w:pPr>
        <w:pStyle w:val="ListParagraph"/>
        <w:numPr>
          <w:ilvl w:val="1"/>
          <w:numId w:val="2"/>
        </w:numPr>
        <w:rPr>
          <w:sz w:val="36"/>
          <w:szCs w:val="36"/>
        </w:rPr>
      </w:pPr>
      <w:r w:rsidRPr="00AE2C12">
        <w:rPr>
          <w:sz w:val="36"/>
          <w:szCs w:val="36"/>
        </w:rPr>
        <w:t>Verify all work is complete</w:t>
      </w:r>
    </w:p>
    <w:p w:rsidR="003E04DE" w:rsidRPr="00AE2C12" w:rsidRDefault="003E04DE" w:rsidP="003E04DE">
      <w:pPr>
        <w:pStyle w:val="ListParagraph"/>
        <w:numPr>
          <w:ilvl w:val="1"/>
          <w:numId w:val="2"/>
        </w:numPr>
        <w:rPr>
          <w:sz w:val="36"/>
          <w:szCs w:val="36"/>
        </w:rPr>
      </w:pPr>
      <w:r w:rsidRPr="00AE2C12">
        <w:rPr>
          <w:sz w:val="36"/>
          <w:szCs w:val="36"/>
        </w:rPr>
        <w:t>Conduct and/or verify clearance dust wipe sampling is acceptable</w:t>
      </w:r>
    </w:p>
    <w:p w:rsidR="00AE2C12" w:rsidRPr="00AE2C12" w:rsidRDefault="003E04DE" w:rsidP="003E04DE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AE2C12">
        <w:rPr>
          <w:sz w:val="36"/>
          <w:szCs w:val="36"/>
        </w:rPr>
        <w:t>A lead management plan must be received for any</w:t>
      </w:r>
      <w:r w:rsidR="00AE2C12" w:rsidRPr="00AE2C12">
        <w:rPr>
          <w:sz w:val="36"/>
          <w:szCs w:val="36"/>
        </w:rPr>
        <w:t xml:space="preserve"> remaining</w:t>
      </w:r>
      <w:r w:rsidRPr="00AE2C12">
        <w:rPr>
          <w:sz w:val="36"/>
          <w:szCs w:val="36"/>
        </w:rPr>
        <w:t xml:space="preserve"> lead</w:t>
      </w:r>
      <w:r w:rsidR="00AE2C12" w:rsidRPr="00AE2C12">
        <w:rPr>
          <w:sz w:val="36"/>
          <w:szCs w:val="36"/>
        </w:rPr>
        <w:t>ed surfaces (</w:t>
      </w:r>
      <w:r w:rsidR="00776461">
        <w:rPr>
          <w:sz w:val="36"/>
          <w:szCs w:val="36"/>
        </w:rPr>
        <w:t xml:space="preserve">intact lead-based </w:t>
      </w:r>
      <w:r w:rsidR="00AE2C12" w:rsidRPr="00AE2C12">
        <w:rPr>
          <w:sz w:val="36"/>
          <w:szCs w:val="36"/>
        </w:rPr>
        <w:t>paint, soil,</w:t>
      </w:r>
      <w:r w:rsidR="00776461">
        <w:rPr>
          <w:sz w:val="36"/>
          <w:szCs w:val="36"/>
        </w:rPr>
        <w:t xml:space="preserve"> and surface abated by encapsulation or enclosure, </w:t>
      </w:r>
      <w:r w:rsidR="00AE2C12" w:rsidRPr="00AE2C12">
        <w:rPr>
          <w:sz w:val="36"/>
          <w:szCs w:val="36"/>
        </w:rPr>
        <w:t>etc.)</w:t>
      </w:r>
    </w:p>
    <w:p w:rsidR="00B856AC" w:rsidRPr="00AE2C12" w:rsidRDefault="00AE2C12" w:rsidP="00B856AC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AE2C12">
        <w:rPr>
          <w:sz w:val="36"/>
          <w:szCs w:val="36"/>
        </w:rPr>
        <w:t>Once all of this is complete the LHD will i</w:t>
      </w:r>
      <w:r w:rsidR="00F62D92">
        <w:rPr>
          <w:sz w:val="36"/>
          <w:szCs w:val="36"/>
        </w:rPr>
        <w:t xml:space="preserve">ssue a post </w:t>
      </w:r>
      <w:r w:rsidR="003E04DE" w:rsidRPr="00AE2C12">
        <w:rPr>
          <w:sz w:val="36"/>
          <w:szCs w:val="36"/>
        </w:rPr>
        <w:t xml:space="preserve">abatement </w:t>
      </w:r>
      <w:r w:rsidR="00F62D92">
        <w:rPr>
          <w:sz w:val="36"/>
          <w:szCs w:val="36"/>
        </w:rPr>
        <w:t xml:space="preserve">inspection </w:t>
      </w:r>
      <w:r w:rsidR="003E04DE" w:rsidRPr="00AE2C12">
        <w:rPr>
          <w:sz w:val="36"/>
          <w:szCs w:val="36"/>
        </w:rPr>
        <w:t>report</w:t>
      </w:r>
      <w:r w:rsidR="00F62D92">
        <w:rPr>
          <w:sz w:val="36"/>
          <w:szCs w:val="36"/>
        </w:rPr>
        <w:t>/letter of compliance</w:t>
      </w:r>
      <w:r w:rsidR="003E04DE" w:rsidRPr="00AE2C12">
        <w:rPr>
          <w:sz w:val="36"/>
          <w:szCs w:val="36"/>
        </w:rPr>
        <w:t xml:space="preserve"> (removing the order from the property)</w:t>
      </w:r>
    </w:p>
    <w:p w:rsidR="00B856AC" w:rsidRPr="00B856AC" w:rsidRDefault="00B856AC" w:rsidP="00B856AC">
      <w:pPr>
        <w:pStyle w:val="ListParagraph"/>
        <w:ind w:left="360"/>
        <w:rPr>
          <w:sz w:val="56"/>
          <w:szCs w:val="120"/>
        </w:rPr>
      </w:pPr>
    </w:p>
    <w:sectPr w:rsidR="00B856AC" w:rsidRPr="00B85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16C1D"/>
    <w:multiLevelType w:val="hybridMultilevel"/>
    <w:tmpl w:val="A476D0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7616AD"/>
    <w:multiLevelType w:val="hybridMultilevel"/>
    <w:tmpl w:val="6ECC06C2"/>
    <w:lvl w:ilvl="0" w:tplc="A21823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C75"/>
    <w:rsid w:val="000D4C11"/>
    <w:rsid w:val="00137511"/>
    <w:rsid w:val="00262BA1"/>
    <w:rsid w:val="003E04DE"/>
    <w:rsid w:val="004F73CA"/>
    <w:rsid w:val="0050214F"/>
    <w:rsid w:val="006E1960"/>
    <w:rsid w:val="00776461"/>
    <w:rsid w:val="008151BE"/>
    <w:rsid w:val="008530A6"/>
    <w:rsid w:val="009720A1"/>
    <w:rsid w:val="00AE2C12"/>
    <w:rsid w:val="00B0129C"/>
    <w:rsid w:val="00B1096F"/>
    <w:rsid w:val="00B856AC"/>
    <w:rsid w:val="00BD2C75"/>
    <w:rsid w:val="00C74E6A"/>
    <w:rsid w:val="00E36FD8"/>
    <w:rsid w:val="00EA336A"/>
    <w:rsid w:val="00F06200"/>
    <w:rsid w:val="00F6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85FF70-0A76-4D1E-981F-2F3F1F1F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Ploszaj, Kimberly</dc:creator>
  <cp:keywords/>
  <dc:description/>
  <cp:lastModifiedBy>Ploszaj, Kimberly</cp:lastModifiedBy>
  <cp:revision>10</cp:revision>
  <dcterms:created xsi:type="dcterms:W3CDTF">2017-07-14T17:20:00Z</dcterms:created>
  <dcterms:modified xsi:type="dcterms:W3CDTF">2017-11-28T15:30:00Z</dcterms:modified>
</cp:coreProperties>
</file>