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B90DC" w14:textId="17B838A2" w:rsidR="00975A79" w:rsidRDefault="00975A79" w:rsidP="00975A79">
      <w:pPr>
        <w:jc w:val="center"/>
      </w:pPr>
      <w:r>
        <w:rPr>
          <w:noProof/>
        </w:rPr>
        <w:drawing>
          <wp:anchor distT="0" distB="0" distL="114300" distR="114300" simplePos="0" relativeHeight="251658240" behindDoc="1" locked="0" layoutInCell="1" allowOverlap="1" wp14:anchorId="1AE641E4" wp14:editId="4E509AF0">
            <wp:simplePos x="0" y="0"/>
            <wp:positionH relativeFrom="column">
              <wp:posOffset>2295525</wp:posOffset>
            </wp:positionH>
            <wp:positionV relativeFrom="paragraph">
              <wp:posOffset>-304800</wp:posOffset>
            </wp:positionV>
            <wp:extent cx="1300480" cy="795655"/>
            <wp:effectExtent l="0" t="0" r="0" b="4445"/>
            <wp:wrapNone/>
            <wp:docPr id="50404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0480" cy="795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29392B" w14:textId="36B05690" w:rsidR="00975A79" w:rsidRDefault="00975A79" w:rsidP="00975A79">
      <w:pPr>
        <w:jc w:val="center"/>
      </w:pPr>
    </w:p>
    <w:p w14:paraId="393A4B22" w14:textId="0C6121FC" w:rsidR="00975A79" w:rsidRDefault="00975A79" w:rsidP="00975A79">
      <w:pPr>
        <w:jc w:val="center"/>
        <w:rPr>
          <w:rFonts w:asciiTheme="majorHAnsi" w:hAnsiTheme="majorHAnsi" w:cs="Calibri"/>
          <w:b/>
          <w:bCs/>
          <w:sz w:val="24"/>
          <w:szCs w:val="24"/>
        </w:rPr>
      </w:pPr>
      <w:r w:rsidRPr="00A45652">
        <w:rPr>
          <w:rFonts w:asciiTheme="majorHAnsi" w:hAnsiTheme="majorHAnsi" w:cs="Calibri"/>
          <w:b/>
          <w:bCs/>
          <w:sz w:val="24"/>
          <w:szCs w:val="24"/>
        </w:rPr>
        <w:t>DEPARTMENT OF CHILDREN AND FAMILIES: ADOLESCENT FACT SHEET</w:t>
      </w:r>
    </w:p>
    <w:p w14:paraId="45206857" w14:textId="77777777" w:rsidR="00AD74AC" w:rsidRPr="00A45652" w:rsidRDefault="00AD74AC" w:rsidP="00975A79">
      <w:pPr>
        <w:jc w:val="center"/>
        <w:rPr>
          <w:rFonts w:asciiTheme="majorHAnsi" w:hAnsiTheme="majorHAnsi" w:cs="Calibri"/>
          <w:b/>
          <w:bCs/>
          <w:sz w:val="24"/>
          <w:szCs w:val="24"/>
        </w:rPr>
      </w:pPr>
    </w:p>
    <w:p w14:paraId="062E618C" w14:textId="77777777" w:rsidR="00975A79" w:rsidRPr="00A45652" w:rsidRDefault="00975A79" w:rsidP="00975A79">
      <w:pPr>
        <w:rPr>
          <w:rFonts w:asciiTheme="majorHAnsi" w:hAnsiTheme="majorHAnsi" w:cs="Calibri"/>
        </w:rPr>
      </w:pPr>
      <w:r w:rsidRPr="00A45652">
        <w:rPr>
          <w:rFonts w:asciiTheme="majorHAnsi" w:hAnsiTheme="majorHAnsi" w:cs="Calibri"/>
          <w:b/>
          <w:bCs/>
          <w:i/>
          <w:iCs/>
          <w:u w:val="single"/>
        </w:rPr>
        <w:t>Overview</w:t>
      </w:r>
      <w:r w:rsidRPr="00A45652">
        <w:rPr>
          <w:rFonts w:asciiTheme="majorHAnsi" w:hAnsiTheme="majorHAnsi" w:cs="Calibri"/>
        </w:rPr>
        <w:t xml:space="preserve"> </w:t>
      </w:r>
    </w:p>
    <w:p w14:paraId="6B8D66CB" w14:textId="77777777" w:rsidR="00975A79" w:rsidRPr="00A45652" w:rsidRDefault="00975A79" w:rsidP="00975A79">
      <w:pPr>
        <w:spacing w:line="276" w:lineRule="auto"/>
        <w:rPr>
          <w:rFonts w:asciiTheme="majorHAnsi" w:hAnsiTheme="majorHAnsi" w:cs="Calibri"/>
        </w:rPr>
      </w:pPr>
      <w:r w:rsidRPr="00A45652">
        <w:rPr>
          <w:rFonts w:asciiTheme="majorHAnsi" w:hAnsiTheme="majorHAnsi" w:cs="Calibri"/>
        </w:rPr>
        <w:t xml:space="preserve">The Department of Children and Families values families and believes children are best served safely in their own homes. A strength of the system is a fundamental belief that the wellbeing of children and families is a shared responsibility amongst all members of the community. </w:t>
      </w:r>
    </w:p>
    <w:p w14:paraId="5F333E0E" w14:textId="77777777" w:rsidR="00975A79" w:rsidRPr="00A45652" w:rsidRDefault="00975A79" w:rsidP="00975A79">
      <w:pPr>
        <w:rPr>
          <w:rFonts w:asciiTheme="majorHAnsi" w:hAnsiTheme="majorHAnsi"/>
        </w:rPr>
      </w:pPr>
      <w:r w:rsidRPr="00A45652">
        <w:rPr>
          <w:rFonts w:asciiTheme="majorHAnsi" w:hAnsiTheme="majorHAnsi" w:cs="Calibri"/>
        </w:rPr>
        <w:t>Annually, the Department provides supports to approximately 32,000 unique families. By empowering and supporting parents and caregivers, children can safely remain at home while being provided a comprehensive array of community-based services.</w:t>
      </w:r>
      <w:r w:rsidRPr="00A45652">
        <w:rPr>
          <w:rFonts w:asciiTheme="majorHAnsi" w:hAnsiTheme="majorHAnsi"/>
        </w:rPr>
        <w:t xml:space="preserve"> </w:t>
      </w:r>
    </w:p>
    <w:p w14:paraId="001B504A" w14:textId="77777777" w:rsidR="00975A79" w:rsidRPr="00A45652" w:rsidRDefault="00975A79" w:rsidP="00975A79">
      <w:pPr>
        <w:rPr>
          <w:rFonts w:asciiTheme="majorHAnsi" w:hAnsiTheme="majorHAnsi" w:cs="Calibri"/>
        </w:rPr>
      </w:pPr>
      <w:r w:rsidRPr="00A45652">
        <w:rPr>
          <w:rFonts w:asciiTheme="majorHAnsi" w:hAnsiTheme="majorHAnsi" w:cs="Calibri"/>
          <w:b/>
          <w:bCs/>
          <w:i/>
          <w:iCs/>
          <w:u w:val="single"/>
        </w:rPr>
        <w:t>Safety</w:t>
      </w:r>
      <w:r w:rsidRPr="00A45652">
        <w:rPr>
          <w:rFonts w:asciiTheme="majorHAnsi" w:hAnsiTheme="majorHAnsi" w:cs="Calibri"/>
        </w:rPr>
        <w:t xml:space="preserve"> </w:t>
      </w:r>
    </w:p>
    <w:p w14:paraId="67572E76" w14:textId="77777777" w:rsidR="00975A79" w:rsidRPr="00A45652" w:rsidRDefault="00975A79" w:rsidP="00975A79">
      <w:pPr>
        <w:rPr>
          <w:rFonts w:asciiTheme="majorHAnsi" w:hAnsiTheme="majorHAnsi" w:cs="Calibri"/>
        </w:rPr>
      </w:pPr>
      <w:r w:rsidRPr="00A45652">
        <w:rPr>
          <w:rFonts w:asciiTheme="majorHAnsi" w:hAnsiTheme="majorHAnsi" w:cs="Calibri"/>
        </w:rPr>
        <w:t xml:space="preserve">Safety of children remains the #1 priority. </w:t>
      </w:r>
    </w:p>
    <w:p w14:paraId="7F813E3F" w14:textId="77777777" w:rsidR="005D7501" w:rsidRPr="00A45652" w:rsidRDefault="00975A79" w:rsidP="005D7501">
      <w:pPr>
        <w:spacing w:line="276" w:lineRule="auto"/>
        <w:rPr>
          <w:rFonts w:asciiTheme="majorHAnsi" w:hAnsiTheme="majorHAnsi" w:cs="Calibri"/>
        </w:rPr>
      </w:pPr>
      <w:r w:rsidRPr="00A45652">
        <w:rPr>
          <w:rFonts w:asciiTheme="majorHAnsi" w:hAnsiTheme="majorHAnsi" w:cs="Calibri"/>
        </w:rPr>
        <w:t xml:space="preserve">How "safety" is defined, the components of safety assessments and tools used by all child serving systems must be in concert with each other. The Department has implemented an ABCD Safety Practice Model which maps out how agency employees, families, and stakeholders conduct their work together in an environment that focuses on keeping children safe from child maltreatment. The model guides the daily interactions of employees, families, and community members in their work. </w:t>
      </w:r>
    </w:p>
    <w:p w14:paraId="1C2B9A96" w14:textId="227B7742" w:rsidR="005D7501" w:rsidRPr="00A45652" w:rsidRDefault="00975A79" w:rsidP="005D7501">
      <w:pPr>
        <w:spacing w:line="276" w:lineRule="auto"/>
        <w:rPr>
          <w:rFonts w:asciiTheme="majorHAnsi" w:hAnsiTheme="majorHAnsi" w:cs="Calibri"/>
        </w:rPr>
      </w:pPr>
      <w:r w:rsidRPr="00A45652">
        <w:rPr>
          <w:rFonts w:asciiTheme="majorHAnsi" w:hAnsiTheme="majorHAnsi" w:cs="Calibri"/>
        </w:rPr>
        <w:t xml:space="preserve">Connecticut is also one of 22 jurisdictions across the country participating in The National Partnership for Child Safety. </w:t>
      </w:r>
      <w:r w:rsidR="00F138B9">
        <w:rPr>
          <w:rFonts w:asciiTheme="majorHAnsi" w:hAnsiTheme="majorHAnsi" w:cs="Calibri"/>
        </w:rPr>
        <w:t xml:space="preserve"> </w:t>
      </w:r>
      <w:r w:rsidRPr="00A45652">
        <w:rPr>
          <w:rFonts w:asciiTheme="majorHAnsi" w:hAnsiTheme="majorHAnsi" w:cs="Calibri"/>
        </w:rPr>
        <w:t xml:space="preserve">Commissioner Jodi Hill-Lilly is a co-leader of this innovative project. </w:t>
      </w:r>
    </w:p>
    <w:p w14:paraId="30E11E4F" w14:textId="754AE621" w:rsidR="005D7501" w:rsidRPr="00A45652" w:rsidRDefault="00975A79" w:rsidP="00975A79">
      <w:pPr>
        <w:rPr>
          <w:rFonts w:asciiTheme="majorHAnsi" w:hAnsiTheme="majorHAnsi" w:cs="Calibri"/>
        </w:rPr>
      </w:pPr>
      <w:r w:rsidRPr="00A45652">
        <w:rPr>
          <w:rFonts w:asciiTheme="majorHAnsi" w:hAnsiTheme="majorHAnsi" w:cs="Calibri"/>
        </w:rPr>
        <w:t xml:space="preserve">Connecticut's Family First Prevention Plan was written in response to the Family First Prevention Services Act (Family First) signed into law as part of the U.S. Bipartisan Budget Act of 2018. </w:t>
      </w:r>
      <w:r w:rsidR="00F138B9">
        <w:rPr>
          <w:rFonts w:asciiTheme="majorHAnsi" w:hAnsiTheme="majorHAnsi" w:cs="Calibri"/>
        </w:rPr>
        <w:t xml:space="preserve"> </w:t>
      </w:r>
      <w:r w:rsidRPr="00A45652">
        <w:rPr>
          <w:rFonts w:asciiTheme="majorHAnsi" w:hAnsiTheme="majorHAnsi" w:cs="Calibri"/>
        </w:rPr>
        <w:t xml:space="preserve">This legislation represents a shift in federal policy leading to families having greater access to mental health services, substance use treatment, and in-home skill-based parenting supports intended to stabilize families and keep them safely together. </w:t>
      </w:r>
      <w:r w:rsidR="00F138B9">
        <w:rPr>
          <w:rFonts w:asciiTheme="majorHAnsi" w:hAnsiTheme="majorHAnsi" w:cs="Calibri"/>
        </w:rPr>
        <w:t xml:space="preserve"> </w:t>
      </w:r>
      <w:r w:rsidRPr="00A45652">
        <w:rPr>
          <w:rFonts w:asciiTheme="majorHAnsi" w:hAnsiTheme="majorHAnsi" w:cs="Calibri"/>
        </w:rPr>
        <w:t xml:space="preserve">This prevention plan is designed to enhance the well-being of all of Connecticut’s children, youth, and families and builds upon our already existing strong array of community-based supports. </w:t>
      </w:r>
    </w:p>
    <w:p w14:paraId="7733D44E" w14:textId="77777777" w:rsidR="00DE2D0B" w:rsidRPr="00A45652" w:rsidRDefault="00975A79" w:rsidP="00975A79">
      <w:pPr>
        <w:rPr>
          <w:rFonts w:asciiTheme="majorHAnsi" w:hAnsiTheme="majorHAnsi" w:cs="Calibri"/>
        </w:rPr>
      </w:pPr>
      <w:r w:rsidRPr="00A45652">
        <w:rPr>
          <w:rFonts w:asciiTheme="majorHAnsi" w:hAnsiTheme="majorHAnsi" w:cs="Calibri"/>
          <w:b/>
          <w:bCs/>
          <w:i/>
          <w:iCs/>
          <w:u w:val="single"/>
        </w:rPr>
        <w:t>Safety and Risk Factors</w:t>
      </w:r>
      <w:r w:rsidRPr="00A45652">
        <w:rPr>
          <w:rFonts w:asciiTheme="majorHAnsi" w:hAnsiTheme="majorHAnsi" w:cs="Calibri"/>
        </w:rPr>
        <w:t xml:space="preserve"> </w:t>
      </w:r>
    </w:p>
    <w:p w14:paraId="568B6C1B" w14:textId="77777777" w:rsidR="00DE2D0B" w:rsidRPr="00A45652" w:rsidRDefault="00975A79" w:rsidP="00DE2D0B">
      <w:pPr>
        <w:spacing w:line="276" w:lineRule="auto"/>
        <w:rPr>
          <w:rFonts w:asciiTheme="majorHAnsi" w:hAnsiTheme="majorHAnsi" w:cs="Calibri"/>
        </w:rPr>
      </w:pPr>
      <w:r w:rsidRPr="00A45652">
        <w:rPr>
          <w:rFonts w:asciiTheme="majorHAnsi" w:hAnsiTheme="majorHAnsi" w:cs="Calibri"/>
        </w:rPr>
        <w:t xml:space="preserve">The criteria utilized to accept a report of abuse or neglect, substantiate or unsubstantiate an investigation or to determine if imminent risk of physical harm is present - requiring a court order for removal - is assessed according to </w:t>
      </w:r>
      <w:proofErr w:type="gramStart"/>
      <w:r w:rsidRPr="00A45652">
        <w:rPr>
          <w:rFonts w:asciiTheme="majorHAnsi" w:hAnsiTheme="majorHAnsi" w:cs="Calibri"/>
        </w:rPr>
        <w:t>a number of</w:t>
      </w:r>
      <w:proofErr w:type="gramEnd"/>
      <w:r w:rsidRPr="00A45652">
        <w:rPr>
          <w:rFonts w:asciiTheme="majorHAnsi" w:hAnsiTheme="majorHAnsi" w:cs="Calibri"/>
        </w:rPr>
        <w:t xml:space="preserve"> safety and risk factors. They include but are not limited to; the nature of abuse or neglect, impact on the child, severity and chronicity, age, characteristics of the child and others. </w:t>
      </w:r>
    </w:p>
    <w:p w14:paraId="0EB0D968" w14:textId="556B87D5" w:rsidR="00A45652" w:rsidRDefault="00975A79" w:rsidP="00A45652">
      <w:pPr>
        <w:spacing w:line="276" w:lineRule="auto"/>
        <w:rPr>
          <w:rFonts w:asciiTheme="majorHAnsi" w:hAnsiTheme="majorHAnsi" w:cs="Calibri"/>
        </w:rPr>
      </w:pPr>
      <w:r w:rsidRPr="00A45652">
        <w:rPr>
          <w:rFonts w:asciiTheme="majorHAnsi" w:hAnsiTheme="majorHAnsi" w:cs="Calibri"/>
        </w:rPr>
        <w:t>Children found to be abandoned, sexually abused, suffering from serious physical abuse or whose wellbeing is extremely compromised due to exposure to adverse circumstances are examples of children who enter care.</w:t>
      </w:r>
    </w:p>
    <w:p w14:paraId="5EC1C3B1" w14:textId="77777777" w:rsidR="00A33157" w:rsidRPr="00AD74AC" w:rsidRDefault="00A33157" w:rsidP="00A45652">
      <w:pPr>
        <w:spacing w:line="276" w:lineRule="auto"/>
        <w:rPr>
          <w:rFonts w:asciiTheme="majorHAnsi" w:hAnsiTheme="majorHAnsi"/>
          <w:b/>
          <w:bCs/>
        </w:rPr>
      </w:pPr>
      <w:r w:rsidRPr="00AD74AC">
        <w:rPr>
          <w:rFonts w:asciiTheme="majorHAnsi" w:hAnsiTheme="majorHAnsi"/>
          <w:b/>
          <w:bCs/>
          <w:i/>
          <w:iCs/>
          <w:u w:val="single"/>
        </w:rPr>
        <w:lastRenderedPageBreak/>
        <w:t>Re-Entry Program</w:t>
      </w:r>
      <w:r w:rsidRPr="00AD74AC">
        <w:rPr>
          <w:rFonts w:asciiTheme="majorHAnsi" w:hAnsiTheme="majorHAnsi"/>
          <w:b/>
          <w:bCs/>
        </w:rPr>
        <w:t xml:space="preserve"> </w:t>
      </w:r>
    </w:p>
    <w:p w14:paraId="140A4F7A" w14:textId="49FA9B8E" w:rsidR="00A33157" w:rsidRPr="00AD74AC" w:rsidRDefault="00A33157" w:rsidP="00AD74AC">
      <w:pPr>
        <w:spacing w:line="276" w:lineRule="auto"/>
        <w:rPr>
          <w:rFonts w:asciiTheme="majorHAnsi" w:hAnsiTheme="majorHAnsi"/>
        </w:rPr>
      </w:pPr>
      <w:r w:rsidRPr="00A33157">
        <w:rPr>
          <w:rFonts w:asciiTheme="majorHAnsi" w:hAnsiTheme="majorHAnsi"/>
        </w:rPr>
        <w:t xml:space="preserve">Young adults who left DCF’s care may be eligible to voluntarily return for services through the Re-Entry Program. Youth must be between the ages of 18 and 21 years old to be eligible and the process commences with a call to the DCF Careline. Transitional Support and Services (TSS) staff will assist the youth returning to care by connecting them to a Regional Office. </w:t>
      </w:r>
    </w:p>
    <w:p w14:paraId="1266EB42" w14:textId="3EE28B64" w:rsidR="00A33157" w:rsidRPr="00AD74AC" w:rsidRDefault="00A33157" w:rsidP="00A33157">
      <w:pPr>
        <w:spacing w:line="240" w:lineRule="auto"/>
        <w:rPr>
          <w:rFonts w:asciiTheme="majorHAnsi" w:hAnsiTheme="majorHAnsi"/>
          <w:b/>
          <w:bCs/>
          <w:i/>
          <w:iCs/>
          <w:u w:val="single"/>
        </w:rPr>
      </w:pPr>
      <w:r w:rsidRPr="00AD74AC">
        <w:rPr>
          <w:rFonts w:asciiTheme="majorHAnsi" w:hAnsiTheme="majorHAnsi"/>
          <w:b/>
          <w:bCs/>
          <w:i/>
          <w:iCs/>
          <w:u w:val="single"/>
        </w:rPr>
        <w:t>Practice Approach and Supports for Adolescents and Transitional Age Youth (16+)</w:t>
      </w:r>
    </w:p>
    <w:p w14:paraId="019F7BBD" w14:textId="77777777" w:rsidR="00F138B9" w:rsidRPr="006F3790" w:rsidRDefault="00A33157" w:rsidP="00F138B9">
      <w:pPr>
        <w:spacing w:line="276" w:lineRule="auto"/>
        <w:rPr>
          <w:rFonts w:asciiTheme="majorHAnsi" w:hAnsiTheme="majorHAnsi"/>
        </w:rPr>
      </w:pPr>
      <w:r w:rsidRPr="00A33157">
        <w:rPr>
          <w:rFonts w:asciiTheme="majorHAnsi" w:hAnsiTheme="majorHAnsi"/>
        </w:rPr>
        <w:t xml:space="preserve">Connecticut is viewed as a leader across the county for the way we provide supports to adolescents. </w:t>
      </w:r>
      <w:r w:rsidR="00F138B9" w:rsidRPr="00275155">
        <w:rPr>
          <w:rFonts w:asciiTheme="majorHAnsi" w:hAnsiTheme="majorHAnsi"/>
        </w:rPr>
        <w:t>Our V.I.T.A.L. consolidated practice approach was launched in May 2021</w:t>
      </w:r>
      <w:r w:rsidR="00F138B9">
        <w:rPr>
          <w:rFonts w:asciiTheme="majorHAnsi" w:hAnsiTheme="majorHAnsi"/>
        </w:rPr>
        <w:t xml:space="preserve">. </w:t>
      </w:r>
    </w:p>
    <w:p w14:paraId="78D02086" w14:textId="5A1D234A" w:rsidR="00275155" w:rsidRPr="00275155" w:rsidRDefault="00A33157" w:rsidP="00A45652">
      <w:pPr>
        <w:spacing w:line="276" w:lineRule="auto"/>
        <w:rPr>
          <w:rFonts w:asciiTheme="majorHAnsi" w:hAnsiTheme="majorHAnsi"/>
        </w:rPr>
      </w:pPr>
      <w:r w:rsidRPr="00A33157">
        <w:rPr>
          <w:rFonts w:asciiTheme="majorHAnsi" w:hAnsiTheme="majorHAnsi"/>
        </w:rPr>
        <w:t xml:space="preserve">Youth who enter DCF care are eligible to receive supports up through 23 years of age if </w:t>
      </w:r>
      <w:proofErr w:type="gramStart"/>
      <w:r w:rsidRPr="00A33157">
        <w:rPr>
          <w:rFonts w:asciiTheme="majorHAnsi" w:hAnsiTheme="majorHAnsi"/>
        </w:rPr>
        <w:t>particular criteria</w:t>
      </w:r>
      <w:proofErr w:type="gramEnd"/>
      <w:r w:rsidRPr="00A33157">
        <w:rPr>
          <w:rFonts w:asciiTheme="majorHAnsi" w:hAnsiTheme="majorHAnsi"/>
        </w:rPr>
        <w:t xml:space="preserve"> </w:t>
      </w:r>
      <w:r w:rsidRPr="00275155">
        <w:rPr>
          <w:rFonts w:asciiTheme="majorHAnsi" w:hAnsiTheme="majorHAnsi"/>
        </w:rPr>
        <w:t>are met</w:t>
      </w:r>
      <w:r w:rsidR="00F138B9">
        <w:rPr>
          <w:rFonts w:asciiTheme="majorHAnsi" w:hAnsiTheme="majorHAnsi"/>
        </w:rPr>
        <w:t xml:space="preserve"> and if funding is available</w:t>
      </w:r>
      <w:r w:rsidR="00275155" w:rsidRPr="00275155">
        <w:rPr>
          <w:rFonts w:asciiTheme="majorHAnsi" w:hAnsiTheme="majorHAnsi"/>
        </w:rPr>
        <w:t>.</w:t>
      </w:r>
    </w:p>
    <w:p w14:paraId="4308D1B8" w14:textId="54D856AB" w:rsidR="006F3790" w:rsidRDefault="00F138B9" w:rsidP="00A45652">
      <w:pPr>
        <w:spacing w:line="276" w:lineRule="auto"/>
        <w:rPr>
          <w:rFonts w:asciiTheme="majorHAnsi" w:hAnsiTheme="majorHAnsi"/>
        </w:rPr>
      </w:pPr>
      <w:r w:rsidRPr="00275155">
        <w:rPr>
          <w:rFonts w:asciiTheme="majorHAnsi" w:hAnsiTheme="majorHAnsi"/>
        </w:rPr>
        <w:t xml:space="preserve">Our Adolescent and Transitional Age Supports Policy was updated effective 8/21/21. </w:t>
      </w:r>
      <w:r>
        <w:rPr>
          <w:rFonts w:asciiTheme="majorHAnsi" w:hAnsiTheme="majorHAnsi"/>
        </w:rPr>
        <w:t xml:space="preserve"> </w:t>
      </w:r>
      <w:r w:rsidR="00275155" w:rsidRPr="00275155">
        <w:rPr>
          <w:rFonts w:asciiTheme="majorHAnsi" w:hAnsiTheme="majorHAnsi"/>
        </w:rPr>
        <w:t xml:space="preserve">A comprehensive package of materials, links, and guidance for staff and for youth and caregivers are available through our website: V.I.T.A.L. Resources for Youth and their Caregivers. </w:t>
      </w:r>
    </w:p>
    <w:p w14:paraId="4357ACF9" w14:textId="77777777" w:rsidR="001172A2" w:rsidRDefault="001172A2" w:rsidP="001172A2">
      <w:pPr>
        <w:spacing w:line="240" w:lineRule="auto"/>
        <w:rPr>
          <w:rFonts w:asciiTheme="majorHAnsi" w:hAnsiTheme="majorHAnsi"/>
        </w:rPr>
      </w:pPr>
    </w:p>
    <w:p w14:paraId="08B14972" w14:textId="0A81CD18" w:rsidR="00927E57" w:rsidRPr="001172A2" w:rsidRDefault="001268A2" w:rsidP="001172A2">
      <w:pPr>
        <w:spacing w:line="240" w:lineRule="auto"/>
        <w:rPr>
          <w:rFonts w:asciiTheme="majorHAnsi" w:hAnsiTheme="majorHAnsi"/>
        </w:rPr>
      </w:pPr>
      <w:r w:rsidRPr="001172A2">
        <w:rPr>
          <w:rFonts w:asciiTheme="majorHAnsi" w:hAnsiTheme="majorHAnsi"/>
        </w:rPr>
        <w:t xml:space="preserve">For questions regarding adolescent work, please contact Administrator Linda Dixon at </w:t>
      </w:r>
      <w:hyperlink r:id="rId6" w:history="1">
        <w:r w:rsidRPr="001172A2">
          <w:rPr>
            <w:rStyle w:val="Hyperlink"/>
            <w:rFonts w:asciiTheme="majorHAnsi" w:hAnsiTheme="majorHAnsi"/>
          </w:rPr>
          <w:t>Linda.Dixon@ct.gov</w:t>
        </w:r>
      </w:hyperlink>
      <w:r w:rsidRPr="001172A2">
        <w:rPr>
          <w:rFonts w:asciiTheme="majorHAnsi" w:hAnsiTheme="majorHAnsi"/>
        </w:rPr>
        <w:t xml:space="preserve"> </w:t>
      </w:r>
    </w:p>
    <w:sectPr w:rsidR="00927E57" w:rsidRPr="00117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82692"/>
    <w:multiLevelType w:val="hybridMultilevel"/>
    <w:tmpl w:val="E620E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6F2175"/>
    <w:multiLevelType w:val="hybridMultilevel"/>
    <w:tmpl w:val="2670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B5290A"/>
    <w:multiLevelType w:val="hybridMultilevel"/>
    <w:tmpl w:val="DAE6368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16cid:durableId="1942029576">
    <w:abstractNumId w:val="0"/>
  </w:num>
  <w:num w:numId="2" w16cid:durableId="866404295">
    <w:abstractNumId w:val="1"/>
  </w:num>
  <w:num w:numId="3" w16cid:durableId="123475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79"/>
    <w:rsid w:val="001172A2"/>
    <w:rsid w:val="001268A2"/>
    <w:rsid w:val="00275155"/>
    <w:rsid w:val="005D7501"/>
    <w:rsid w:val="006F3790"/>
    <w:rsid w:val="007833E2"/>
    <w:rsid w:val="00927E57"/>
    <w:rsid w:val="00975A79"/>
    <w:rsid w:val="00A33157"/>
    <w:rsid w:val="00A45652"/>
    <w:rsid w:val="00AD74AC"/>
    <w:rsid w:val="00B63969"/>
    <w:rsid w:val="00BC57D2"/>
    <w:rsid w:val="00DE2D0B"/>
    <w:rsid w:val="00F13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DCC6"/>
  <w15:chartTrackingRefBased/>
  <w15:docId w15:val="{84C9E2C5-490C-4FCE-89EA-49AF84AD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A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A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A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A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A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A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A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A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A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A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A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A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A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A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A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A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A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A79"/>
    <w:rPr>
      <w:rFonts w:eastAsiaTheme="majorEastAsia" w:cstheme="majorBidi"/>
      <w:color w:val="272727" w:themeColor="text1" w:themeTint="D8"/>
    </w:rPr>
  </w:style>
  <w:style w:type="paragraph" w:styleId="Title">
    <w:name w:val="Title"/>
    <w:basedOn w:val="Normal"/>
    <w:next w:val="Normal"/>
    <w:link w:val="TitleChar"/>
    <w:uiPriority w:val="10"/>
    <w:qFormat/>
    <w:rsid w:val="00975A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A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A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A79"/>
    <w:pPr>
      <w:spacing w:before="160"/>
      <w:jc w:val="center"/>
    </w:pPr>
    <w:rPr>
      <w:i/>
      <w:iCs/>
      <w:color w:val="404040" w:themeColor="text1" w:themeTint="BF"/>
    </w:rPr>
  </w:style>
  <w:style w:type="character" w:customStyle="1" w:styleId="QuoteChar">
    <w:name w:val="Quote Char"/>
    <w:basedOn w:val="DefaultParagraphFont"/>
    <w:link w:val="Quote"/>
    <w:uiPriority w:val="29"/>
    <w:rsid w:val="00975A79"/>
    <w:rPr>
      <w:i/>
      <w:iCs/>
      <w:color w:val="404040" w:themeColor="text1" w:themeTint="BF"/>
    </w:rPr>
  </w:style>
  <w:style w:type="paragraph" w:styleId="ListParagraph">
    <w:name w:val="List Paragraph"/>
    <w:basedOn w:val="Normal"/>
    <w:uiPriority w:val="34"/>
    <w:qFormat/>
    <w:rsid w:val="00975A79"/>
    <w:pPr>
      <w:ind w:left="720"/>
      <w:contextualSpacing/>
    </w:pPr>
  </w:style>
  <w:style w:type="character" w:styleId="IntenseEmphasis">
    <w:name w:val="Intense Emphasis"/>
    <w:basedOn w:val="DefaultParagraphFont"/>
    <w:uiPriority w:val="21"/>
    <w:qFormat/>
    <w:rsid w:val="00975A79"/>
    <w:rPr>
      <w:i/>
      <w:iCs/>
      <w:color w:val="0F4761" w:themeColor="accent1" w:themeShade="BF"/>
    </w:rPr>
  </w:style>
  <w:style w:type="paragraph" w:styleId="IntenseQuote">
    <w:name w:val="Intense Quote"/>
    <w:basedOn w:val="Normal"/>
    <w:next w:val="Normal"/>
    <w:link w:val="IntenseQuoteChar"/>
    <w:uiPriority w:val="30"/>
    <w:qFormat/>
    <w:rsid w:val="00975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A79"/>
    <w:rPr>
      <w:i/>
      <w:iCs/>
      <w:color w:val="0F4761" w:themeColor="accent1" w:themeShade="BF"/>
    </w:rPr>
  </w:style>
  <w:style w:type="character" w:styleId="IntenseReference">
    <w:name w:val="Intense Reference"/>
    <w:basedOn w:val="DefaultParagraphFont"/>
    <w:uiPriority w:val="32"/>
    <w:qFormat/>
    <w:rsid w:val="00975A79"/>
    <w:rPr>
      <w:b/>
      <w:bCs/>
      <w:smallCaps/>
      <w:color w:val="0F4761" w:themeColor="accent1" w:themeShade="BF"/>
      <w:spacing w:val="5"/>
    </w:rPr>
  </w:style>
  <w:style w:type="character" w:styleId="Hyperlink">
    <w:name w:val="Hyperlink"/>
    <w:basedOn w:val="DefaultParagraphFont"/>
    <w:uiPriority w:val="99"/>
    <w:unhideWhenUsed/>
    <w:rsid w:val="001268A2"/>
    <w:rPr>
      <w:color w:val="467886" w:themeColor="hyperlink"/>
      <w:u w:val="single"/>
    </w:rPr>
  </w:style>
  <w:style w:type="character" w:styleId="UnresolvedMention">
    <w:name w:val="Unresolved Mention"/>
    <w:basedOn w:val="DefaultParagraphFont"/>
    <w:uiPriority w:val="99"/>
    <w:semiHidden/>
    <w:unhideWhenUsed/>
    <w:rsid w:val="00126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da.Dixon@ct.gov"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3270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LOZANO, LUZ</dc:creator>
  <cp:keywords/>
  <dc:description/>
  <cp:lastModifiedBy>DIXON, LINDA</cp:lastModifiedBy>
  <cp:revision>2</cp:revision>
  <dcterms:created xsi:type="dcterms:W3CDTF">2024-12-17T13:13:00Z</dcterms:created>
  <dcterms:modified xsi:type="dcterms:W3CDTF">2024-12-17T13:13:00Z</dcterms:modified>
</cp:coreProperties>
</file>