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2BC18930" w:rsidR="008E5B62" w:rsidRPr="00756CE3" w:rsidRDefault="00E16F03" w:rsidP="00686D0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7.5.3</w:t>
      </w:r>
      <w:r w:rsidR="00D52693">
        <w:rPr>
          <w:b/>
          <w:sz w:val="28"/>
          <w:szCs w:val="28"/>
        </w:rPr>
        <w:t xml:space="preserve"> – Density Curves and Normal Curves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07E16A08" w14:textId="2B6D7DDF" w:rsidR="00C326DA" w:rsidRDefault="00C326DA" w:rsidP="00632F5E">
      <w:r>
        <w:t xml:space="preserve">There are many situations in which a random variable can take on </w:t>
      </w:r>
      <w:r w:rsidRPr="00B26B2C">
        <w:rPr>
          <w:i/>
        </w:rPr>
        <w:t>any</w:t>
      </w:r>
      <w:r>
        <w:t xml:space="preserve"> value in a certain </w:t>
      </w:r>
      <w:r w:rsidR="00640F8C">
        <w:t xml:space="preserve">interval. </w:t>
      </w:r>
      <w:r w:rsidR="00B26B2C">
        <w:t xml:space="preserve">When this occurs, we say that the random variable is </w:t>
      </w:r>
      <w:r w:rsidR="00B26B2C" w:rsidRPr="00B26B2C">
        <w:rPr>
          <w:i/>
        </w:rPr>
        <w:t>continuous</w:t>
      </w:r>
      <w:r w:rsidR="00B26B2C">
        <w:t xml:space="preserve">.  </w:t>
      </w:r>
      <w:r w:rsidR="00264A5C">
        <w:t>This activity examines how continuous random variables can be modeled by curves.</w:t>
      </w:r>
    </w:p>
    <w:p w14:paraId="2EF4FB82" w14:textId="5B5C6AE1" w:rsidR="00C326DA" w:rsidRDefault="00264A5C" w:rsidP="00632F5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7D2BA2" wp14:editId="50E1AF4C">
                <wp:simplePos x="0" y="0"/>
                <wp:positionH relativeFrom="column">
                  <wp:posOffset>4004196</wp:posOffset>
                </wp:positionH>
                <wp:positionV relativeFrom="paragraph">
                  <wp:posOffset>19050</wp:posOffset>
                </wp:positionV>
                <wp:extent cx="1716177" cy="2876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177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6CEBA" w14:textId="79E67DC4" w:rsidR="00453B53" w:rsidRPr="00264A5C" w:rsidRDefault="00453B53">
                            <w:pPr>
                              <w:rPr>
                                <w:b/>
                              </w:rPr>
                            </w:pPr>
                            <w:r w:rsidRPr="00264A5C">
                              <w:rPr>
                                <w:b/>
                              </w:rPr>
                              <w:t>Frequency Distribution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15.3pt;margin-top:1.5pt;width:135.1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vyktICAAAV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" filled="f" stroked="f">
                <v:textbox>
                  <w:txbxContent>
                    <w:p w14:paraId="5496CEBA" w14:textId="79E67DC4" w:rsidR="00453B53" w:rsidRPr="00264A5C" w:rsidRDefault="00453B53">
                      <w:pPr>
                        <w:rPr>
                          <w:b/>
                        </w:rPr>
                      </w:pPr>
                      <w:r w:rsidRPr="00264A5C">
                        <w:rPr>
                          <w:b/>
                        </w:rPr>
                        <w:t>Frequency Distribution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7618950" w14:textId="5DDFEBB6" w:rsidR="00C326DA" w:rsidRPr="00640F8C" w:rsidRDefault="00C326DA" w:rsidP="00632F5E">
      <w:pPr>
        <w:rPr>
          <w:b/>
        </w:rPr>
      </w:pPr>
      <w:r w:rsidRPr="00640F8C">
        <w:rPr>
          <w:b/>
        </w:rPr>
        <w:t xml:space="preserve">Heights of </w:t>
      </w:r>
      <w:r w:rsidR="00FC0D1F">
        <w:rPr>
          <w:b/>
        </w:rPr>
        <w:t>16-Year Old Girls</w:t>
      </w:r>
    </w:p>
    <w:p w14:paraId="24D5BF92" w14:textId="77777777" w:rsidR="00C326DA" w:rsidRDefault="00C326DA" w:rsidP="00632F5E"/>
    <w:tbl>
      <w:tblPr>
        <w:tblStyle w:val="TableGrid"/>
        <w:tblpPr w:leftFromText="180" w:rightFromText="180" w:vertAnchor="page" w:horzAnchor="page" w:tblpX="7174" w:tblpY="3382"/>
        <w:tblW w:w="0" w:type="auto"/>
        <w:tblLook w:val="04A0" w:firstRow="1" w:lastRow="0" w:firstColumn="1" w:lastColumn="0" w:noHBand="0" w:noVBand="1"/>
      </w:tblPr>
      <w:tblGrid>
        <w:gridCol w:w="1530"/>
        <w:gridCol w:w="1248"/>
        <w:gridCol w:w="1443"/>
      </w:tblGrid>
      <w:tr w:rsidR="00264A5C" w14:paraId="31648B6A" w14:textId="77777777" w:rsidTr="00867000">
        <w:trPr>
          <w:trHeight w:val="701"/>
        </w:trPr>
        <w:tc>
          <w:tcPr>
            <w:tcW w:w="1530" w:type="dxa"/>
            <w:shd w:val="clear" w:color="auto" w:fill="auto"/>
            <w:vAlign w:val="center"/>
          </w:tcPr>
          <w:p w14:paraId="670D50A9" w14:textId="77777777" w:rsidR="00264A5C" w:rsidRPr="00264A5C" w:rsidRDefault="00264A5C" w:rsidP="00867000">
            <w:pPr>
              <w:jc w:val="center"/>
              <w:rPr>
                <w:b/>
                <w:sz w:val="22"/>
                <w:szCs w:val="22"/>
              </w:rPr>
            </w:pPr>
            <w:r w:rsidRPr="00264A5C">
              <w:rPr>
                <w:b/>
                <w:sz w:val="22"/>
                <w:szCs w:val="22"/>
              </w:rPr>
              <w:t>Class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4DC5404" w14:textId="77777777" w:rsidR="00264A5C" w:rsidRPr="00264A5C" w:rsidRDefault="00264A5C" w:rsidP="00867000">
            <w:pPr>
              <w:jc w:val="center"/>
              <w:rPr>
                <w:b/>
                <w:sz w:val="22"/>
                <w:szCs w:val="22"/>
              </w:rPr>
            </w:pPr>
            <w:r w:rsidRPr="00264A5C">
              <w:rPr>
                <w:b/>
                <w:sz w:val="22"/>
                <w:szCs w:val="22"/>
              </w:rPr>
              <w:t>Frequency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38FD128" w14:textId="77777777" w:rsidR="00264A5C" w:rsidRPr="00264A5C" w:rsidRDefault="00264A5C" w:rsidP="00867000">
            <w:pPr>
              <w:jc w:val="center"/>
              <w:rPr>
                <w:b/>
                <w:sz w:val="22"/>
                <w:szCs w:val="22"/>
              </w:rPr>
            </w:pPr>
            <w:r w:rsidRPr="00264A5C">
              <w:rPr>
                <w:b/>
                <w:sz w:val="22"/>
                <w:szCs w:val="22"/>
              </w:rPr>
              <w:t>Relative</w:t>
            </w:r>
          </w:p>
          <w:p w14:paraId="0F57ABC0" w14:textId="77777777" w:rsidR="00264A5C" w:rsidRPr="00264A5C" w:rsidRDefault="00264A5C" w:rsidP="00867000">
            <w:pPr>
              <w:jc w:val="center"/>
              <w:rPr>
                <w:b/>
                <w:sz w:val="22"/>
                <w:szCs w:val="22"/>
              </w:rPr>
            </w:pPr>
            <w:r w:rsidRPr="00264A5C">
              <w:rPr>
                <w:b/>
                <w:sz w:val="22"/>
                <w:szCs w:val="22"/>
              </w:rPr>
              <w:t>Frequency</w:t>
            </w:r>
          </w:p>
        </w:tc>
      </w:tr>
      <w:tr w:rsidR="00264A5C" w14:paraId="1389CFC5" w14:textId="77777777" w:rsidTr="00867000">
        <w:trPr>
          <w:trHeight w:val="261"/>
        </w:trPr>
        <w:tc>
          <w:tcPr>
            <w:tcW w:w="1530" w:type="dxa"/>
          </w:tcPr>
          <w:p w14:paraId="794530DB" w14:textId="6F59EC95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58≤x&lt;60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6E70291B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43" w:type="dxa"/>
            <w:vAlign w:val="bottom"/>
          </w:tcPr>
          <w:p w14:paraId="5FE5F235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0.08</w:t>
            </w:r>
          </w:p>
        </w:tc>
      </w:tr>
      <w:tr w:rsidR="00264A5C" w14:paraId="22494EA8" w14:textId="77777777" w:rsidTr="00867000">
        <w:trPr>
          <w:trHeight w:val="246"/>
        </w:trPr>
        <w:tc>
          <w:tcPr>
            <w:tcW w:w="1530" w:type="dxa"/>
          </w:tcPr>
          <w:p w14:paraId="28F47D5A" w14:textId="3C8FB65B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60≤x&lt;62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4679B5CB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3" w:type="dxa"/>
            <w:vAlign w:val="bottom"/>
          </w:tcPr>
          <w:p w14:paraId="46400D41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0.11</w:t>
            </w:r>
          </w:p>
        </w:tc>
      </w:tr>
      <w:tr w:rsidR="00264A5C" w14:paraId="26FC586B" w14:textId="77777777" w:rsidTr="00867000">
        <w:trPr>
          <w:trHeight w:val="261"/>
        </w:trPr>
        <w:tc>
          <w:tcPr>
            <w:tcW w:w="1530" w:type="dxa"/>
          </w:tcPr>
          <w:p w14:paraId="715B46EA" w14:textId="52281E33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62≤x&lt;64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55BC6E93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43" w:type="dxa"/>
            <w:vAlign w:val="bottom"/>
          </w:tcPr>
          <w:p w14:paraId="38EAE913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0.18</w:t>
            </w:r>
          </w:p>
        </w:tc>
      </w:tr>
      <w:tr w:rsidR="00264A5C" w14:paraId="5E0CF522" w14:textId="77777777" w:rsidTr="00867000">
        <w:trPr>
          <w:trHeight w:val="261"/>
        </w:trPr>
        <w:tc>
          <w:tcPr>
            <w:tcW w:w="1530" w:type="dxa"/>
          </w:tcPr>
          <w:p w14:paraId="39D8C488" w14:textId="008C9D4E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64≤x&lt;66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4BF87012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43" w:type="dxa"/>
            <w:vAlign w:val="bottom"/>
          </w:tcPr>
          <w:p w14:paraId="14F03424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0.23</w:t>
            </w:r>
          </w:p>
        </w:tc>
      </w:tr>
      <w:tr w:rsidR="00264A5C" w14:paraId="3B185719" w14:textId="77777777" w:rsidTr="00867000">
        <w:trPr>
          <w:trHeight w:val="261"/>
        </w:trPr>
        <w:tc>
          <w:tcPr>
            <w:tcW w:w="1530" w:type="dxa"/>
          </w:tcPr>
          <w:p w14:paraId="32251210" w14:textId="70F3914A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66≤x&lt;68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5332BB31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43" w:type="dxa"/>
            <w:vAlign w:val="bottom"/>
          </w:tcPr>
          <w:p w14:paraId="5C44164C" w14:textId="4586F66F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0.2</w:t>
            </w:r>
            <w:r w:rsidR="000E3ED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64A5C" w14:paraId="1CBE8BBF" w14:textId="77777777" w:rsidTr="00867000">
        <w:trPr>
          <w:trHeight w:val="261"/>
        </w:trPr>
        <w:tc>
          <w:tcPr>
            <w:tcW w:w="1530" w:type="dxa"/>
          </w:tcPr>
          <w:p w14:paraId="2FD22CBB" w14:textId="324FD236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68≤x&lt;70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2D0AC2D3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43" w:type="dxa"/>
            <w:vAlign w:val="bottom"/>
          </w:tcPr>
          <w:p w14:paraId="10E0D7AC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0.15</w:t>
            </w:r>
          </w:p>
        </w:tc>
      </w:tr>
      <w:tr w:rsidR="00264A5C" w14:paraId="40536B26" w14:textId="77777777" w:rsidTr="00867000">
        <w:trPr>
          <w:trHeight w:val="261"/>
        </w:trPr>
        <w:tc>
          <w:tcPr>
            <w:tcW w:w="1530" w:type="dxa"/>
          </w:tcPr>
          <w:p w14:paraId="5503E2F2" w14:textId="27478AEE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70≤x&lt;72</m:t>
                </m:r>
              </m:oMath>
            </m:oMathPara>
          </w:p>
        </w:tc>
        <w:tc>
          <w:tcPr>
            <w:tcW w:w="1248" w:type="dxa"/>
            <w:vAlign w:val="bottom"/>
          </w:tcPr>
          <w:p w14:paraId="11263F79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43" w:type="dxa"/>
            <w:vAlign w:val="bottom"/>
          </w:tcPr>
          <w:p w14:paraId="035DCB78" w14:textId="77777777" w:rsidR="00264A5C" w:rsidRPr="004B76D1" w:rsidRDefault="00264A5C" w:rsidP="00867000">
            <w:pPr>
              <w:jc w:val="center"/>
              <w:rPr>
                <w:sz w:val="22"/>
                <w:szCs w:val="22"/>
              </w:rPr>
            </w:pPr>
            <w:r w:rsidRPr="004B76D1">
              <w:rPr>
                <w:rFonts w:eastAsia="Times New Roman"/>
                <w:color w:val="000000"/>
                <w:sz w:val="22"/>
                <w:szCs w:val="22"/>
              </w:rPr>
              <w:t>0.05</w:t>
            </w:r>
          </w:p>
        </w:tc>
      </w:tr>
    </w:tbl>
    <w:p w14:paraId="32FD74DD" w14:textId="77777777" w:rsidR="00D344B1" w:rsidRDefault="00264A5C" w:rsidP="00632F5E">
      <w:r>
        <w:t>The frequ</w:t>
      </w:r>
      <w:r w:rsidR="00490E7C">
        <w:t>ency distribution to the right</w:t>
      </w:r>
      <w:r>
        <w:t xml:space="preserve"> summarizes </w:t>
      </w:r>
      <w:r w:rsidR="001C7FBF">
        <w:t xml:space="preserve">the heights </w:t>
      </w:r>
      <w:r w:rsidR="00B33FA6">
        <w:t xml:space="preserve">(in inches) </w:t>
      </w:r>
      <w:r w:rsidR="00897338">
        <w:t xml:space="preserve">of </w:t>
      </w:r>
      <w:r w:rsidR="009C1B30">
        <w:t>four hundred</w:t>
      </w:r>
      <w:r w:rsidR="00C326DA">
        <w:t xml:space="preserve"> </w:t>
      </w:r>
      <w:r w:rsidR="001C7FBF">
        <w:t>16-year old teenage girls.</w:t>
      </w:r>
      <w:r>
        <w:t xml:space="preserve">  T</w:t>
      </w:r>
      <w:r w:rsidR="0001678A">
        <w:t xml:space="preserve">he random variable </w:t>
      </w:r>
      <w:r w:rsidR="0001678A" w:rsidRPr="0001678A">
        <w:rPr>
          <w:i/>
        </w:rPr>
        <w:t>x</w:t>
      </w:r>
      <w:r w:rsidR="0001678A">
        <w:t xml:space="preserve"> represent</w:t>
      </w:r>
      <w:r>
        <w:t>s</w:t>
      </w:r>
      <w:r w:rsidR="0001678A">
        <w:t xml:space="preserve"> the height of a teenage girl in this distribution.</w:t>
      </w:r>
      <w:r>
        <w:t xml:space="preserve">  </w:t>
      </w:r>
    </w:p>
    <w:p w14:paraId="00BA4EFE" w14:textId="77777777" w:rsidR="00D344B1" w:rsidRDefault="00D344B1" w:rsidP="00632F5E"/>
    <w:p w14:paraId="55AEDB68" w14:textId="407918D4" w:rsidR="00C326DA" w:rsidRDefault="00264A5C" w:rsidP="00632F5E">
      <w:r>
        <w:t>The relative frequency histogram below displays this distribution.</w:t>
      </w:r>
    </w:p>
    <w:p w14:paraId="1CAE812D" w14:textId="77777777" w:rsidR="00490E7C" w:rsidRDefault="00490E7C" w:rsidP="00632F5E">
      <w:pPr>
        <w:rPr>
          <w:b/>
        </w:rPr>
      </w:pPr>
    </w:p>
    <w:p w14:paraId="283EF101" w14:textId="7DBE1406" w:rsidR="009C1B30" w:rsidRDefault="00640F8C" w:rsidP="00632F5E">
      <w:pPr>
        <w:rPr>
          <w:b/>
        </w:rPr>
      </w:pPr>
      <w:r>
        <w:rPr>
          <w:b/>
        </w:rPr>
        <w:t>Relative Frequency</w:t>
      </w:r>
      <w:r w:rsidRPr="00640F8C">
        <w:rPr>
          <w:b/>
        </w:rPr>
        <w:t xml:space="preserve"> Histogram</w:t>
      </w:r>
    </w:p>
    <w:p w14:paraId="62D22BE7" w14:textId="77777777" w:rsidR="00490E7C" w:rsidRPr="007842B7" w:rsidRDefault="00490E7C" w:rsidP="00632F5E">
      <w:pPr>
        <w:rPr>
          <w:b/>
        </w:rPr>
      </w:pPr>
    </w:p>
    <w:p w14:paraId="19078E5E" w14:textId="5FEA9012" w:rsidR="00AB14AB" w:rsidRDefault="001F4245" w:rsidP="00640F8C">
      <w:pPr>
        <w:jc w:val="center"/>
      </w:pPr>
      <w:r>
        <w:rPr>
          <w:noProof/>
        </w:rPr>
        <w:drawing>
          <wp:inline distT="0" distB="0" distL="0" distR="0" wp14:anchorId="2ABF3641" wp14:editId="44788DF4">
            <wp:extent cx="4822825" cy="1651635"/>
            <wp:effectExtent l="0" t="0" r="3175" b="0"/>
            <wp:docPr id="3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21C6" w14:textId="77777777" w:rsidR="00490E7C" w:rsidRDefault="00490E7C" w:rsidP="00632F5E"/>
    <w:p w14:paraId="50D970A6" w14:textId="40C36161" w:rsidR="00490E7C" w:rsidRDefault="009C1B30" w:rsidP="00490E7C">
      <w:r w:rsidRPr="009C1B30">
        <w:t xml:space="preserve">The relative frequency histogram shows the proportion of heights in each class. We can convert this histogram to a </w:t>
      </w:r>
      <w:r w:rsidRPr="009C1B30">
        <w:rPr>
          <w:i/>
        </w:rPr>
        <w:t>density histogram</w:t>
      </w:r>
      <w:r w:rsidRPr="009C1B30">
        <w:t xml:space="preserve"> by</w:t>
      </w:r>
      <w:r w:rsidR="00410D36">
        <w:t xml:space="preserve"> </w:t>
      </w:r>
      <w:r w:rsidR="006D75D9">
        <w:t>chang</w:t>
      </w:r>
      <w:r w:rsidR="00264A5C">
        <w:t xml:space="preserve">ing the height of each bar to its </w:t>
      </w:r>
      <w:r w:rsidR="006D75D9">
        <w:t>density value</w:t>
      </w:r>
      <w:r w:rsidR="00410D36">
        <w:t xml:space="preserve">.  </w:t>
      </w:r>
      <w:r w:rsidR="00264A5C">
        <w:t>A bar’s density value is its</w:t>
      </w:r>
      <w:r w:rsidR="00410D36">
        <w:t xml:space="preserve"> relative frequen</w:t>
      </w:r>
      <w:r w:rsidR="00264A5C">
        <w:t>cy divided by its</w:t>
      </w:r>
      <w:r w:rsidR="00410D36">
        <w:t xml:space="preserve"> width.  </w:t>
      </w:r>
      <w:r w:rsidR="00264A5C">
        <w:t xml:space="preserve">Changing the height of the bar from relative frequency to density </w:t>
      </w:r>
      <w:r w:rsidR="00410D36">
        <w:t xml:space="preserve">makes the </w:t>
      </w:r>
      <w:r w:rsidR="006D75D9" w:rsidRPr="00410D36">
        <w:rPr>
          <w:i/>
        </w:rPr>
        <w:t>area</w:t>
      </w:r>
      <w:r w:rsidR="00410D36">
        <w:t xml:space="preserve"> of each bar equal to</w:t>
      </w:r>
      <w:r w:rsidR="006D75D9">
        <w:t xml:space="preserve"> the </w:t>
      </w:r>
      <w:r w:rsidR="00490E7C">
        <w:t>relative frequency. The histogram below is a density histogram.  The value above each bar is the bar’s density.</w:t>
      </w:r>
    </w:p>
    <w:p w14:paraId="071B5FE8" w14:textId="77777777" w:rsidR="00264A5C" w:rsidRPr="0001678A" w:rsidRDefault="00264A5C" w:rsidP="00632F5E">
      <w:pPr>
        <w:rPr>
          <w:b/>
        </w:rPr>
      </w:pPr>
    </w:p>
    <w:p w14:paraId="3B8A1AAE" w14:textId="1D451186" w:rsidR="006D75D9" w:rsidRDefault="00264A5C" w:rsidP="00632F5E">
      <w:pPr>
        <w:rPr>
          <w:b/>
        </w:rPr>
      </w:pPr>
      <w:r w:rsidRPr="00640F8C">
        <w:rPr>
          <w:b/>
        </w:rPr>
        <w:t>Density Histogram</w:t>
      </w:r>
    </w:p>
    <w:p w14:paraId="01B0484C" w14:textId="77777777" w:rsidR="00490E7C" w:rsidRPr="00490E7C" w:rsidRDefault="00490E7C" w:rsidP="00632F5E">
      <w:pPr>
        <w:rPr>
          <w:b/>
        </w:rPr>
      </w:pPr>
    </w:p>
    <w:p w14:paraId="5118634B" w14:textId="4836FB12" w:rsidR="00264A5C" w:rsidRDefault="00C70C0C" w:rsidP="00264A5C">
      <w:pPr>
        <w:jc w:val="center"/>
      </w:pPr>
      <w:r>
        <w:rPr>
          <w:noProof/>
        </w:rPr>
        <w:drawing>
          <wp:inline distT="0" distB="0" distL="0" distR="0" wp14:anchorId="48A89C1A" wp14:editId="67FBF6C6">
            <wp:extent cx="4822825" cy="1651635"/>
            <wp:effectExtent l="0" t="0" r="3175" b="0"/>
            <wp:docPr id="3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4D46F" w14:textId="4BA3A989" w:rsidR="000430E1" w:rsidRDefault="00490E7C" w:rsidP="00490E7C">
      <w:r>
        <w:lastRenderedPageBreak/>
        <w:t xml:space="preserve">Density histograms enable us to determine the percentage of random variable values within certain </w:t>
      </w:r>
      <w:r>
        <w:rPr>
          <w:i/>
        </w:rPr>
        <w:t xml:space="preserve">intervals.  </w:t>
      </w:r>
      <w:r>
        <w:t>The percentage of values within an interval</w:t>
      </w:r>
      <w:r w:rsidRPr="00A92A8F">
        <w:t xml:space="preserve"> equals</w:t>
      </w:r>
      <w:r>
        <w:t xml:space="preserve"> the probability that </w:t>
      </w:r>
      <w:r w:rsidR="00974F12">
        <w:t xml:space="preserve">a randomly selected </w:t>
      </w:r>
      <w:r>
        <w:t xml:space="preserve">value is in the </w:t>
      </w:r>
      <w:r w:rsidRPr="00A92A8F">
        <w:t>interval</w:t>
      </w:r>
      <w:r>
        <w:t>.</w:t>
      </w:r>
    </w:p>
    <w:p w14:paraId="3C86485B" w14:textId="77777777" w:rsidR="00490E7C" w:rsidRDefault="00490E7C" w:rsidP="00490E7C"/>
    <w:p w14:paraId="69A6A6C0" w14:textId="3E3DFADC" w:rsidR="000430E1" w:rsidRDefault="00490E7C" w:rsidP="00632F5E">
      <w:r>
        <w:t xml:space="preserve">Use the density histogram </w:t>
      </w:r>
      <w:r w:rsidR="00630603">
        <w:t>below</w:t>
      </w:r>
      <w:r>
        <w:t xml:space="preserve"> to answer the following questions.</w:t>
      </w:r>
    </w:p>
    <w:p w14:paraId="4F61C7D6" w14:textId="77777777" w:rsidR="00630603" w:rsidRDefault="00630603" w:rsidP="00632F5E"/>
    <w:p w14:paraId="6ACDA029" w14:textId="6D8647B8" w:rsidR="00630603" w:rsidRDefault="00630603" w:rsidP="00630603">
      <w:pPr>
        <w:jc w:val="center"/>
      </w:pPr>
      <w:r>
        <w:rPr>
          <w:noProof/>
        </w:rPr>
        <w:drawing>
          <wp:inline distT="0" distB="0" distL="0" distR="0" wp14:anchorId="537A3D60" wp14:editId="13917C7F">
            <wp:extent cx="4822825" cy="1651635"/>
            <wp:effectExtent l="0" t="0" r="3175" b="0"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A994C" w14:textId="77777777" w:rsidR="006D75D9" w:rsidRDefault="006D75D9" w:rsidP="00632F5E"/>
    <w:p w14:paraId="7F30F548" w14:textId="4CFAF8F0" w:rsidR="000430E1" w:rsidRDefault="006D75D9" w:rsidP="006D75D9">
      <w:pPr>
        <w:pStyle w:val="ListParagraph"/>
        <w:numPr>
          <w:ilvl w:val="0"/>
          <w:numId w:val="33"/>
        </w:numPr>
      </w:pPr>
      <w:r>
        <w:t>Find the area of the bar between 58</w:t>
      </w:r>
      <w:r w:rsidR="00FA0C4F">
        <w:t xml:space="preserve"> and 60.  What does this value represent?</w:t>
      </w:r>
    </w:p>
    <w:p w14:paraId="188C64F5" w14:textId="77777777" w:rsidR="006D75D9" w:rsidRDefault="006D75D9" w:rsidP="006D75D9">
      <w:pPr>
        <w:pStyle w:val="ListParagraph"/>
        <w:ind w:left="360"/>
      </w:pPr>
    </w:p>
    <w:p w14:paraId="769BF431" w14:textId="77777777" w:rsidR="006D75D9" w:rsidRDefault="006D75D9" w:rsidP="006D75D9">
      <w:pPr>
        <w:pStyle w:val="ListParagraph"/>
        <w:ind w:left="360"/>
      </w:pPr>
    </w:p>
    <w:p w14:paraId="720A3C3F" w14:textId="77777777" w:rsidR="00630603" w:rsidRDefault="00630603" w:rsidP="006D75D9">
      <w:pPr>
        <w:pStyle w:val="ListParagraph"/>
        <w:ind w:left="360"/>
      </w:pPr>
    </w:p>
    <w:p w14:paraId="2D8BED4B" w14:textId="684B271D" w:rsidR="006D75D9" w:rsidRDefault="006D75D9" w:rsidP="006D75D9">
      <w:pPr>
        <w:pStyle w:val="ListParagraph"/>
        <w:numPr>
          <w:ilvl w:val="0"/>
          <w:numId w:val="33"/>
        </w:numPr>
      </w:pPr>
      <w:r>
        <w:t>What is the total are</w:t>
      </w:r>
      <w:r w:rsidR="009A6AE4">
        <w:t>a</w:t>
      </w:r>
      <w:r>
        <w:t xml:space="preserve"> of all the bars?  What does this represent?</w:t>
      </w:r>
    </w:p>
    <w:p w14:paraId="6A7DC8BF" w14:textId="77777777" w:rsidR="006D75D9" w:rsidRDefault="006D75D9" w:rsidP="006D75D9">
      <w:pPr>
        <w:pStyle w:val="ListParagraph"/>
        <w:ind w:left="360"/>
      </w:pPr>
    </w:p>
    <w:p w14:paraId="5FB17AEB" w14:textId="77777777" w:rsidR="00B969C1" w:rsidRDefault="00B969C1" w:rsidP="00CA4044"/>
    <w:p w14:paraId="297469C4" w14:textId="77777777" w:rsidR="00630603" w:rsidRDefault="00630603" w:rsidP="00CA4044"/>
    <w:p w14:paraId="42302DB8" w14:textId="6096CB8F" w:rsidR="00FA0C4F" w:rsidRDefault="00FA0C4F" w:rsidP="00FA0C4F">
      <w:pPr>
        <w:pStyle w:val="ListParagraph"/>
        <w:numPr>
          <w:ilvl w:val="0"/>
          <w:numId w:val="33"/>
        </w:numPr>
      </w:pPr>
      <w:r>
        <w:t xml:space="preserve">What percent of heights are less than 62 inches?  </w:t>
      </w:r>
    </w:p>
    <w:p w14:paraId="2E646244" w14:textId="77777777" w:rsidR="00F344F7" w:rsidRDefault="00F344F7" w:rsidP="006D75D9">
      <w:pPr>
        <w:pStyle w:val="ListParagraph"/>
        <w:ind w:left="360"/>
      </w:pPr>
    </w:p>
    <w:p w14:paraId="61B325B7" w14:textId="77777777" w:rsidR="00B94A05" w:rsidRDefault="00B94A05" w:rsidP="00CA4044"/>
    <w:p w14:paraId="4576332C" w14:textId="2F51FE7F" w:rsidR="00CA4044" w:rsidRDefault="00CA4044" w:rsidP="00CA4044">
      <w:pPr>
        <w:pStyle w:val="ListParagraph"/>
        <w:numPr>
          <w:ilvl w:val="0"/>
          <w:numId w:val="33"/>
        </w:numPr>
      </w:pPr>
      <w:r>
        <w:t xml:space="preserve">What percent of heights are between 62 and 68 inches?  </w:t>
      </w:r>
    </w:p>
    <w:p w14:paraId="3D8E5988" w14:textId="77777777" w:rsidR="00B969C1" w:rsidRDefault="00B969C1" w:rsidP="00CA4044"/>
    <w:p w14:paraId="190D85D5" w14:textId="77777777" w:rsidR="00B969C1" w:rsidRDefault="00B969C1" w:rsidP="00CA4044"/>
    <w:p w14:paraId="28A4EE41" w14:textId="77777777" w:rsidR="00CA4044" w:rsidRDefault="00CA4044" w:rsidP="00CA4044">
      <w:pPr>
        <w:pStyle w:val="ListParagraph"/>
        <w:numPr>
          <w:ilvl w:val="0"/>
          <w:numId w:val="33"/>
        </w:numPr>
      </w:pPr>
      <w:r>
        <w:t>What percent of heights are greater than 68 inches?</w:t>
      </w:r>
    </w:p>
    <w:p w14:paraId="099927D8" w14:textId="77777777" w:rsidR="00CA4044" w:rsidRDefault="00CA4044" w:rsidP="00CA4044">
      <w:pPr>
        <w:pStyle w:val="ListParagraph"/>
        <w:ind w:left="360"/>
      </w:pPr>
    </w:p>
    <w:p w14:paraId="539A4DCD" w14:textId="77777777" w:rsidR="00CA4044" w:rsidRDefault="00CA4044" w:rsidP="00CA4044">
      <w:pPr>
        <w:pStyle w:val="ListParagraph"/>
        <w:ind w:left="360"/>
      </w:pPr>
    </w:p>
    <w:p w14:paraId="7BE75936" w14:textId="753C4351" w:rsidR="00CA4044" w:rsidRDefault="00CA4044" w:rsidP="00630603"/>
    <w:p w14:paraId="7BB2A976" w14:textId="7411FD47" w:rsidR="00F344F7" w:rsidRDefault="00CA4044" w:rsidP="009A6AE4">
      <w:pPr>
        <w:pStyle w:val="ListParagraph"/>
        <w:numPr>
          <w:ilvl w:val="0"/>
          <w:numId w:val="33"/>
        </w:numPr>
      </w:pPr>
      <w:r>
        <w:t>What is more likely: randomly choosing a student whose height is greater than 68 inches or randomly choosing a student whose height is less than 62 inches?  Explain.</w:t>
      </w:r>
    </w:p>
    <w:p w14:paraId="3A64E272" w14:textId="77777777" w:rsidR="009A6AE4" w:rsidRDefault="009A6AE4" w:rsidP="009A6AE4">
      <w:pPr>
        <w:pStyle w:val="ListParagraph"/>
        <w:ind w:left="360"/>
      </w:pPr>
    </w:p>
    <w:p w14:paraId="19C090F6" w14:textId="77777777" w:rsidR="004B76D1" w:rsidRDefault="004B76D1" w:rsidP="00632F5E"/>
    <w:p w14:paraId="5B4C9613" w14:textId="77777777" w:rsidR="00B969C1" w:rsidRDefault="00B969C1" w:rsidP="00632F5E"/>
    <w:p w14:paraId="5E3E070D" w14:textId="77777777" w:rsidR="00630603" w:rsidRDefault="00630603" w:rsidP="00632F5E"/>
    <w:p w14:paraId="0DB637FF" w14:textId="77777777" w:rsidR="00630603" w:rsidRDefault="00630603" w:rsidP="00632F5E"/>
    <w:p w14:paraId="396725EF" w14:textId="22DECC7E" w:rsidR="009A6AE4" w:rsidRDefault="00490E7C" w:rsidP="00CA4044">
      <w:pPr>
        <w:pStyle w:val="ListParagraph"/>
        <w:numPr>
          <w:ilvl w:val="0"/>
          <w:numId w:val="33"/>
        </w:numPr>
      </w:pPr>
      <w:r>
        <w:t xml:space="preserve">Can we use the density histogram to determine the </w:t>
      </w:r>
      <w:r w:rsidR="00CA4044">
        <w:t>percent of heights between 61 and 63 inches?</w:t>
      </w:r>
      <w:r>
        <w:t xml:space="preserve">  Explain.</w:t>
      </w:r>
    </w:p>
    <w:p w14:paraId="1DC7D3B8" w14:textId="77777777" w:rsidR="00CA4044" w:rsidRDefault="00CA4044" w:rsidP="00CA4044"/>
    <w:p w14:paraId="23CD9683" w14:textId="77777777" w:rsidR="00CA4044" w:rsidRDefault="00CA4044" w:rsidP="00632F5E">
      <w:pPr>
        <w:rPr>
          <w:b/>
        </w:rPr>
      </w:pPr>
    </w:p>
    <w:p w14:paraId="7F7B7AEA" w14:textId="77777777" w:rsidR="00B969C1" w:rsidRDefault="00B969C1">
      <w:pPr>
        <w:rPr>
          <w:b/>
        </w:rPr>
      </w:pPr>
      <w:r>
        <w:rPr>
          <w:b/>
        </w:rPr>
        <w:br w:type="page"/>
      </w:r>
    </w:p>
    <w:p w14:paraId="704F731E" w14:textId="799FB8A5" w:rsidR="00CA4044" w:rsidRPr="00CA4044" w:rsidRDefault="00CA4044" w:rsidP="00CA4044">
      <w:pPr>
        <w:rPr>
          <w:b/>
        </w:rPr>
      </w:pPr>
      <w:r w:rsidRPr="00FA0C4F">
        <w:rPr>
          <w:b/>
        </w:rPr>
        <w:lastRenderedPageBreak/>
        <w:t>Density Curve</w:t>
      </w:r>
      <w:r>
        <w:rPr>
          <w:b/>
        </w:rPr>
        <w:t>s</w:t>
      </w:r>
    </w:p>
    <w:p w14:paraId="245BC98A" w14:textId="77777777" w:rsidR="00CA4044" w:rsidRDefault="00CA4044" w:rsidP="00632F5E"/>
    <w:p w14:paraId="48EA129A" w14:textId="269D0315" w:rsidR="00CA4044" w:rsidRDefault="00CA4044" w:rsidP="00632F5E">
      <w:r>
        <w:t>The</w:t>
      </w:r>
      <w:r w:rsidR="00FA0C4F">
        <w:t xml:space="preserve"> density histogram </w:t>
      </w:r>
      <w:r>
        <w:t xml:space="preserve">details areas for a finite number of regions – the regions that relate to the bars in the histogram. </w:t>
      </w:r>
      <w:r w:rsidR="0003004C">
        <w:t xml:space="preserve"> </w:t>
      </w:r>
      <w:r>
        <w:t xml:space="preserve">When </w:t>
      </w:r>
      <w:r w:rsidR="00375A6D">
        <w:t xml:space="preserve">we </w:t>
      </w:r>
      <w:r w:rsidR="0003004C">
        <w:t xml:space="preserve">want to </w:t>
      </w:r>
      <w:r w:rsidR="00375A6D">
        <w:t xml:space="preserve">examine </w:t>
      </w:r>
      <w:r>
        <w:t xml:space="preserve">the behavior of a continuous random variable – a random variable that can assume </w:t>
      </w:r>
      <w:r w:rsidRPr="00FC7108">
        <w:rPr>
          <w:i/>
        </w:rPr>
        <w:t>any</w:t>
      </w:r>
      <w:r>
        <w:t xml:space="preserve"> value in an interval – we need a more detailed and flexible model.</w:t>
      </w:r>
      <w:r w:rsidR="00B0156F">
        <w:t xml:space="preserve">  </w:t>
      </w:r>
      <w:r w:rsidR="00FC7108">
        <w:t>A</w:t>
      </w:r>
      <w:r w:rsidR="00B0156F">
        <w:t xml:space="preserve"> </w:t>
      </w:r>
      <w:r w:rsidR="00FA0C4F" w:rsidRPr="00FA0C4F">
        <w:rPr>
          <w:i/>
        </w:rPr>
        <w:t>density curve</w:t>
      </w:r>
      <w:r w:rsidR="00FC7108">
        <w:t xml:space="preserve"> is such a model. </w:t>
      </w:r>
    </w:p>
    <w:p w14:paraId="0D08769D" w14:textId="77777777" w:rsidR="00375A6D" w:rsidRDefault="00375A6D" w:rsidP="00632F5E"/>
    <w:p w14:paraId="05095BA8" w14:textId="62097F28" w:rsidR="00375A6D" w:rsidRDefault="00375A6D" w:rsidP="00375A6D">
      <w:pPr>
        <w:pStyle w:val="ListParagraph"/>
        <w:numPr>
          <w:ilvl w:val="0"/>
          <w:numId w:val="33"/>
        </w:numPr>
      </w:pPr>
      <w:r>
        <w:t>Sketch a density curve on the de</w:t>
      </w:r>
      <w:r w:rsidR="0003004C">
        <w:t xml:space="preserve">nsity histogram above.  Draw a curve that begins and ends near the </w:t>
      </w:r>
      <w:r w:rsidR="00920831" w:rsidRPr="00920831">
        <w:rPr>
          <w:i/>
        </w:rPr>
        <w:t>x</w:t>
      </w:r>
      <w:r w:rsidR="0003004C">
        <w:t>-axi</w:t>
      </w:r>
      <w:r w:rsidR="00EB18E9">
        <w:t>s and inter</w:t>
      </w:r>
      <w:r w:rsidR="00DF6A74">
        <w:t xml:space="preserve">sects the </w:t>
      </w:r>
      <w:r w:rsidR="00D76BE8">
        <w:t>top</w:t>
      </w:r>
      <w:r w:rsidR="00DF6A74">
        <w:t xml:space="preserve"> </w:t>
      </w:r>
      <w:r w:rsidR="00EB18E9">
        <w:t>of the</w:t>
      </w:r>
      <w:r w:rsidR="0003004C">
        <w:t xml:space="preserve"> bars.  </w:t>
      </w:r>
    </w:p>
    <w:p w14:paraId="3FD4872C" w14:textId="77777777" w:rsidR="00920831" w:rsidRDefault="00920831" w:rsidP="00920831">
      <w:pPr>
        <w:pStyle w:val="ListParagraph"/>
        <w:ind w:left="360"/>
      </w:pPr>
    </w:p>
    <w:p w14:paraId="18BB1238" w14:textId="73633426" w:rsidR="00375A6D" w:rsidRDefault="00920831" w:rsidP="00920831">
      <w:pPr>
        <w:jc w:val="center"/>
      </w:pPr>
      <w:r>
        <w:rPr>
          <w:noProof/>
        </w:rPr>
        <w:drawing>
          <wp:inline distT="0" distB="0" distL="0" distR="0" wp14:anchorId="26D07764" wp14:editId="2D56BB7B">
            <wp:extent cx="4952365" cy="1900555"/>
            <wp:effectExtent l="0" t="0" r="635" b="4445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517A" w14:textId="77777777" w:rsidR="00920831" w:rsidRDefault="00920831" w:rsidP="00920831"/>
    <w:p w14:paraId="1210DC5D" w14:textId="4A0ACCCC" w:rsidR="00FA0C4F" w:rsidRDefault="00920831" w:rsidP="00920831">
      <w:r>
        <w:t xml:space="preserve">The density curve below models the density histogram. </w:t>
      </w:r>
      <w:r w:rsidR="00161443">
        <w:t>This curve allows</w:t>
      </w:r>
      <w:r w:rsidR="0003004C">
        <w:t xml:space="preserve"> us to estimate the percent of heights within </w:t>
      </w:r>
      <w:r w:rsidR="0003004C" w:rsidRPr="00B0156F">
        <w:rPr>
          <w:i/>
        </w:rPr>
        <w:t>any</w:t>
      </w:r>
      <w:r w:rsidR="0003004C">
        <w:t xml:space="preserve"> interval.  </w:t>
      </w:r>
      <w:r>
        <w:t>T</w:t>
      </w:r>
      <w:r w:rsidR="001D5909">
        <w:t>he image below shows the percent of heights between 61 and 63 inches</w:t>
      </w:r>
      <w:r w:rsidR="0003004C">
        <w:t xml:space="preserve"> (</w:t>
      </w:r>
      <w:r w:rsidR="00701506">
        <w:t>labeled A), and the pe</w:t>
      </w:r>
      <w:r w:rsidR="00FC7108">
        <w:t>rcent of heights greater than 69</w:t>
      </w:r>
      <w:r w:rsidR="0003004C">
        <w:t xml:space="preserve"> inches (</w:t>
      </w:r>
      <w:r w:rsidR="00701506">
        <w:t>labeled B).</w:t>
      </w:r>
    </w:p>
    <w:p w14:paraId="13B56A98" w14:textId="77777777" w:rsidR="001D5909" w:rsidRDefault="001D5909" w:rsidP="00632F5E"/>
    <w:p w14:paraId="56B155DC" w14:textId="2B7562A2" w:rsidR="001D5909" w:rsidRDefault="00EB18E9" w:rsidP="00B94A05">
      <w:pPr>
        <w:jc w:val="center"/>
      </w:pPr>
      <w:r w:rsidRPr="00EB18E9">
        <w:t xml:space="preserve"> </w:t>
      </w:r>
      <w:r>
        <w:rPr>
          <w:noProof/>
        </w:rPr>
        <w:drawing>
          <wp:inline distT="0" distB="0" distL="0" distR="0" wp14:anchorId="7C6AC88B" wp14:editId="04184F28">
            <wp:extent cx="4952365" cy="1900555"/>
            <wp:effectExtent l="0" t="0" r="635" b="4445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DFE7" w14:textId="77777777" w:rsidR="00EB18E9" w:rsidRDefault="00EB18E9" w:rsidP="00632F5E"/>
    <w:p w14:paraId="11BA5BF0" w14:textId="0AD7D830" w:rsidR="004B76D1" w:rsidRDefault="0039392A" w:rsidP="00632F5E">
      <w:r>
        <w:t xml:space="preserve">The area below the </w:t>
      </w:r>
      <w:r w:rsidR="00C8371D">
        <w:t>density curve</w:t>
      </w:r>
      <w:r w:rsidR="00B0156F">
        <w:t xml:space="preserve"> within an interval</w:t>
      </w:r>
      <w:r w:rsidR="00C8371D">
        <w:t xml:space="preserve"> </w:t>
      </w:r>
      <w:r w:rsidR="00C8371D" w:rsidRPr="00C8371D">
        <w:rPr>
          <w:i/>
        </w:rPr>
        <w:t>approximates</w:t>
      </w:r>
      <w:r w:rsidR="00C8371D">
        <w:t xml:space="preserve"> the act</w:t>
      </w:r>
      <w:r>
        <w:t>ual percentage of data values within the</w:t>
      </w:r>
      <w:r w:rsidR="00C8371D">
        <w:t xml:space="preserve"> interval.  Sometimes the area be</w:t>
      </w:r>
      <w:r w:rsidR="00B0156F">
        <w:t xml:space="preserve">low the curve </w:t>
      </w:r>
      <w:r>
        <w:t xml:space="preserve">overestimates; </w:t>
      </w:r>
      <w:r w:rsidR="00C8371D">
        <w:t xml:space="preserve">sometimes it </w:t>
      </w:r>
      <w:r>
        <w:t>underestimates.</w:t>
      </w:r>
    </w:p>
    <w:p w14:paraId="335DF65A" w14:textId="53DBC49A" w:rsidR="00B0156F" w:rsidRDefault="00B0156F" w:rsidP="00632F5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7E3AAA" wp14:editId="6E3928E2">
                <wp:simplePos x="0" y="0"/>
                <wp:positionH relativeFrom="column">
                  <wp:posOffset>-54519</wp:posOffset>
                </wp:positionH>
                <wp:positionV relativeFrom="paragraph">
                  <wp:posOffset>109855</wp:posOffset>
                </wp:positionV>
                <wp:extent cx="6030595" cy="663938"/>
                <wp:effectExtent l="0" t="0" r="14605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5" cy="663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1" o:spid="_x0000_s1026" style="position:absolute;margin-left:-4.25pt;margin-top:8.65pt;width:474.85pt;height:52.3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" fillcolor="white [3201]" strokecolor="#f79646 [3209]" strokeweight="2pt"/>
            </w:pict>
          </mc:Fallback>
        </mc:AlternateContent>
      </w:r>
    </w:p>
    <w:p w14:paraId="4CAE62E8" w14:textId="77777777" w:rsidR="00B0156F" w:rsidRPr="00B0156F" w:rsidRDefault="00B0156F" w:rsidP="00B0156F">
      <w:pPr>
        <w:ind w:left="720"/>
        <w:rPr>
          <w:b/>
        </w:rPr>
      </w:pPr>
      <w:r w:rsidRPr="00B0156F">
        <w:rPr>
          <w:b/>
        </w:rPr>
        <w:t xml:space="preserve">Area </w:t>
      </w:r>
      <w:r w:rsidRPr="00B0156F">
        <w:t>Below Density Curve within an Interval</w:t>
      </w:r>
    </w:p>
    <w:p w14:paraId="4DC69127" w14:textId="0A27D0A7" w:rsidR="00B0156F" w:rsidRPr="00B0156F" w:rsidRDefault="00B0156F" w:rsidP="00B0156F">
      <w:pPr>
        <w:ind w:left="720" w:firstLine="720"/>
        <w:rPr>
          <w:b/>
        </w:rPr>
      </w:pPr>
      <w:r w:rsidRPr="00B0156F">
        <w:t>=</w:t>
      </w:r>
      <w:r>
        <w:rPr>
          <w:b/>
        </w:rPr>
        <w:t xml:space="preserve"> Percentage </w:t>
      </w:r>
      <w:r w:rsidRPr="00B0156F">
        <w:t xml:space="preserve">of </w:t>
      </w:r>
      <w:r>
        <w:t xml:space="preserve">Values Within the </w:t>
      </w:r>
      <w:r w:rsidRPr="00B0156F">
        <w:t>Interval</w:t>
      </w:r>
    </w:p>
    <w:p w14:paraId="36C09823" w14:textId="296D4A5C" w:rsidR="00B0156F" w:rsidRPr="00B0156F" w:rsidRDefault="00B0156F" w:rsidP="00B0156F">
      <w:pPr>
        <w:ind w:left="1440" w:firstLine="720"/>
        <w:rPr>
          <w:b/>
        </w:rPr>
      </w:pPr>
      <w:r w:rsidRPr="00B0156F">
        <w:t>=</w:t>
      </w:r>
      <w:r>
        <w:rPr>
          <w:b/>
        </w:rPr>
        <w:t xml:space="preserve"> </w:t>
      </w:r>
      <w:r w:rsidRPr="00B0156F">
        <w:rPr>
          <w:b/>
        </w:rPr>
        <w:t xml:space="preserve">Probability </w:t>
      </w:r>
      <w:r w:rsidRPr="00B0156F">
        <w:t>that a Randomly Selected Value is Within the Interval</w:t>
      </w:r>
    </w:p>
    <w:p w14:paraId="176B197B" w14:textId="77777777" w:rsidR="0003004C" w:rsidRDefault="0003004C" w:rsidP="00723B8F">
      <w:pPr>
        <w:rPr>
          <w:b/>
        </w:rPr>
      </w:pPr>
    </w:p>
    <w:p w14:paraId="02BD457A" w14:textId="77777777" w:rsidR="0003004C" w:rsidRDefault="0003004C" w:rsidP="00723B8F">
      <w:pPr>
        <w:rPr>
          <w:b/>
        </w:rPr>
      </w:pPr>
    </w:p>
    <w:p w14:paraId="0DF1D72D" w14:textId="3F2BA375" w:rsidR="00373B2E" w:rsidRPr="00373B2E" w:rsidRDefault="00373B2E" w:rsidP="00723B8F">
      <w:pPr>
        <w:rPr>
          <w:b/>
        </w:rPr>
      </w:pPr>
      <w:r w:rsidRPr="00373B2E">
        <w:rPr>
          <w:b/>
        </w:rPr>
        <w:lastRenderedPageBreak/>
        <w:t>Modeling a Distribution of Exam Scores</w:t>
      </w:r>
    </w:p>
    <w:p w14:paraId="11D8A481" w14:textId="77777777" w:rsidR="00373B2E" w:rsidRDefault="00373B2E" w:rsidP="00723B8F"/>
    <w:p w14:paraId="5AA33791" w14:textId="288516A8" w:rsidR="00C8371D" w:rsidRDefault="004B7351" w:rsidP="00723B8F">
      <w:r>
        <w:t xml:space="preserve">The </w:t>
      </w:r>
      <w:r w:rsidR="00077541">
        <w:t xml:space="preserve">density histogram below displays the </w:t>
      </w:r>
      <w:r w:rsidR="00545E6F">
        <w:t>exam</w:t>
      </w:r>
      <w:r w:rsidR="00077541">
        <w:t xml:space="preserve"> scores </w:t>
      </w:r>
      <w:r w:rsidR="00545E6F">
        <w:t xml:space="preserve">for </w:t>
      </w:r>
      <w:r w:rsidR="00077541">
        <w:t>middle school students</w:t>
      </w:r>
      <w:r w:rsidR="00545E6F">
        <w:t xml:space="preserve"> on a standardized exam</w:t>
      </w:r>
      <w:r w:rsidR="00077541">
        <w:t xml:space="preserve">. </w:t>
      </w:r>
    </w:p>
    <w:p w14:paraId="71AA2A13" w14:textId="0B5F56F1" w:rsidR="00077541" w:rsidRDefault="00077541" w:rsidP="008A1036"/>
    <w:p w14:paraId="085C2C57" w14:textId="4C23B857" w:rsidR="00545E6F" w:rsidRDefault="00A73C3E" w:rsidP="00281B46">
      <w:pPr>
        <w:ind w:left="360"/>
      </w:pPr>
      <w:r>
        <w:rPr>
          <w:noProof/>
        </w:rPr>
        <w:drawing>
          <wp:inline distT="0" distB="0" distL="0" distR="0" wp14:anchorId="773948E4" wp14:editId="2CCCE96D">
            <wp:extent cx="5208905" cy="2537460"/>
            <wp:effectExtent l="0" t="0" r="0" b="2540"/>
            <wp:docPr id="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45C2" w14:textId="77777777" w:rsidR="00074433" w:rsidRDefault="00074433" w:rsidP="00281B46">
      <w:pPr>
        <w:ind w:left="360"/>
      </w:pPr>
    </w:p>
    <w:p w14:paraId="0A288992" w14:textId="0AD4D256" w:rsidR="00B94A05" w:rsidRDefault="00B15DA5" w:rsidP="00B94A05">
      <w:pPr>
        <w:pStyle w:val="ListParagraph"/>
        <w:numPr>
          <w:ilvl w:val="0"/>
          <w:numId w:val="33"/>
        </w:numPr>
      </w:pPr>
      <w:r>
        <w:t>W</w:t>
      </w:r>
      <w:r w:rsidR="0039392A">
        <w:t>hat percent of exam scores are between 40 and 70?</w:t>
      </w:r>
    </w:p>
    <w:p w14:paraId="39754E09" w14:textId="77777777" w:rsidR="00B94A05" w:rsidRDefault="00B94A05" w:rsidP="00B94A05">
      <w:pPr>
        <w:pStyle w:val="ListParagraph"/>
        <w:ind w:left="360"/>
      </w:pPr>
    </w:p>
    <w:p w14:paraId="0AD2FD69" w14:textId="74EF3116" w:rsidR="0039392A" w:rsidRDefault="0039392A" w:rsidP="00B94A05">
      <w:pPr>
        <w:pStyle w:val="ListParagraph"/>
        <w:ind w:left="360"/>
      </w:pPr>
    </w:p>
    <w:p w14:paraId="03255A03" w14:textId="77777777" w:rsidR="006C1857" w:rsidRDefault="006C1857" w:rsidP="0039392A">
      <w:pPr>
        <w:pStyle w:val="ListParagraph"/>
      </w:pPr>
    </w:p>
    <w:p w14:paraId="180E17B5" w14:textId="10F420D3" w:rsidR="00723B8F" w:rsidRDefault="00B15DA5" w:rsidP="00723B8F">
      <w:pPr>
        <w:pStyle w:val="ListParagraph"/>
        <w:numPr>
          <w:ilvl w:val="0"/>
          <w:numId w:val="33"/>
        </w:numPr>
      </w:pPr>
      <w:r>
        <w:t>W</w:t>
      </w:r>
      <w:r w:rsidR="00723B8F">
        <w:t>hat percent of exam scores are between 70 and 90?</w:t>
      </w:r>
    </w:p>
    <w:p w14:paraId="6FB03CB0" w14:textId="77777777" w:rsidR="00723B8F" w:rsidRDefault="00723B8F" w:rsidP="00B94A05"/>
    <w:p w14:paraId="0525FF09" w14:textId="173B1527" w:rsidR="00B94A05" w:rsidRDefault="00B94A05" w:rsidP="00B94A05">
      <w:pPr>
        <w:pStyle w:val="ListParagraph"/>
        <w:ind w:left="360"/>
      </w:pPr>
      <w:r>
        <w:rPr>
          <w:color w:val="FF0000"/>
        </w:rPr>
        <w:br/>
      </w:r>
    </w:p>
    <w:p w14:paraId="4AE29637" w14:textId="7ED0086A" w:rsidR="00DF6A74" w:rsidRDefault="00DF6A74" w:rsidP="00DF6A74">
      <w:pPr>
        <w:pStyle w:val="ListParagraph"/>
        <w:numPr>
          <w:ilvl w:val="0"/>
          <w:numId w:val="33"/>
        </w:numPr>
      </w:pPr>
      <w:r>
        <w:t xml:space="preserve">Sketch a density curve on the density histogram above.  Draw a curve that begins and ends near the </w:t>
      </w:r>
      <w:r w:rsidRPr="00920831">
        <w:rPr>
          <w:i/>
        </w:rPr>
        <w:t>x</w:t>
      </w:r>
      <w:r>
        <w:t xml:space="preserve">-axis and intersects the </w:t>
      </w:r>
      <w:r w:rsidR="00D76BE8">
        <w:t>top</w:t>
      </w:r>
      <w:r>
        <w:t xml:space="preserve"> of the bars.  </w:t>
      </w:r>
    </w:p>
    <w:p w14:paraId="1720E43F" w14:textId="77777777" w:rsidR="0039392A" w:rsidRDefault="0039392A" w:rsidP="0039392A">
      <w:pPr>
        <w:pStyle w:val="ListParagraph"/>
      </w:pPr>
    </w:p>
    <w:p w14:paraId="06AE7A5F" w14:textId="7818B8B8" w:rsidR="00545E6F" w:rsidRDefault="0001057A" w:rsidP="0001057A">
      <w:pPr>
        <w:pStyle w:val="ListParagraph"/>
        <w:numPr>
          <w:ilvl w:val="0"/>
          <w:numId w:val="33"/>
        </w:numPr>
      </w:pPr>
      <w:r>
        <w:t xml:space="preserve">Show the area below the density curve that corresponds to the percent of </w:t>
      </w:r>
      <w:r w:rsidR="009D7096">
        <w:t xml:space="preserve">scores </w:t>
      </w:r>
      <w:r w:rsidR="004625C4">
        <w:t xml:space="preserve">that are </w:t>
      </w:r>
      <w:r w:rsidR="009D7096">
        <w:t>less than 36</w:t>
      </w:r>
      <w:r w:rsidR="00545E6F">
        <w:t xml:space="preserve">. </w:t>
      </w:r>
      <w:r>
        <w:t xml:space="preserve"> </w:t>
      </w:r>
      <w:r w:rsidR="00920831">
        <w:t>What</w:t>
      </w:r>
      <w:r w:rsidR="002A5F52">
        <w:t xml:space="preserve"> geometric shape can we u</w:t>
      </w:r>
      <w:r w:rsidR="00630603">
        <w:t>se to find this area?  Estimate</w:t>
      </w:r>
      <w:r w:rsidR="00B15DA5">
        <w:t xml:space="preserve"> the</w:t>
      </w:r>
      <w:r w:rsidR="002A5F52">
        <w:t xml:space="preserve"> area</w:t>
      </w:r>
      <w:r w:rsidR="00545E6F">
        <w:t>.</w:t>
      </w:r>
    </w:p>
    <w:p w14:paraId="3147CE1A" w14:textId="77777777" w:rsidR="0001057A" w:rsidRDefault="0001057A" w:rsidP="0001057A">
      <w:pPr>
        <w:pStyle w:val="ListParagraph"/>
        <w:ind w:left="360"/>
      </w:pPr>
    </w:p>
    <w:p w14:paraId="651BDB61" w14:textId="77777777" w:rsidR="0001057A" w:rsidRDefault="0001057A" w:rsidP="00074433"/>
    <w:p w14:paraId="4E674884" w14:textId="77777777" w:rsidR="00DF6A74" w:rsidRDefault="00DF6A74" w:rsidP="00074433"/>
    <w:p w14:paraId="55F2025B" w14:textId="77777777" w:rsidR="00DF6A74" w:rsidRDefault="00DF6A74" w:rsidP="00074433"/>
    <w:p w14:paraId="6B55E0CB" w14:textId="77777777" w:rsidR="00DF6A74" w:rsidRDefault="00DF6A74" w:rsidP="00074433"/>
    <w:p w14:paraId="173D99F3" w14:textId="02890F03" w:rsidR="0001057A" w:rsidRDefault="0001057A" w:rsidP="0001057A">
      <w:pPr>
        <w:pStyle w:val="ListParagraph"/>
        <w:numPr>
          <w:ilvl w:val="0"/>
          <w:numId w:val="33"/>
        </w:numPr>
      </w:pPr>
      <w:r>
        <w:t xml:space="preserve">Show the area below the density curve that corresponds to </w:t>
      </w:r>
      <w:r w:rsidR="00FC63EA">
        <w:t>probability that a randomly s</w:t>
      </w:r>
      <w:r w:rsidR="002A5F52">
        <w:t>elected exam score is between 75</w:t>
      </w:r>
      <w:r w:rsidR="00FC63EA">
        <w:t xml:space="preserve"> and 93.  </w:t>
      </w:r>
      <w:r w:rsidR="002A5F52">
        <w:t>What geometric shape can we u</w:t>
      </w:r>
      <w:r w:rsidR="00B15DA5">
        <w:t xml:space="preserve">se to find this area?  </w:t>
      </w:r>
      <w:r w:rsidR="00630603">
        <w:t>Estimate</w:t>
      </w:r>
      <w:r w:rsidR="00B15DA5">
        <w:t xml:space="preserve"> the</w:t>
      </w:r>
      <w:r w:rsidR="002A5F52">
        <w:t xml:space="preserve"> area.</w:t>
      </w:r>
    </w:p>
    <w:p w14:paraId="6E9949B4" w14:textId="77777777" w:rsidR="00545E6F" w:rsidRDefault="00545E6F" w:rsidP="00545E6F">
      <w:pPr>
        <w:pStyle w:val="ListParagraph"/>
      </w:pPr>
    </w:p>
    <w:p w14:paraId="384BC8E8" w14:textId="77777777" w:rsidR="00DF6A74" w:rsidRDefault="00DF6A74">
      <w:pPr>
        <w:rPr>
          <w:color w:val="FF0000"/>
        </w:rPr>
      </w:pPr>
      <w:r>
        <w:rPr>
          <w:color w:val="FF0000"/>
        </w:rPr>
        <w:br w:type="page"/>
      </w:r>
    </w:p>
    <w:p w14:paraId="65F008C2" w14:textId="50A72BE5" w:rsidR="008B3238" w:rsidRDefault="008B3238" w:rsidP="00AC62C8">
      <w:pPr>
        <w:rPr>
          <w:b/>
        </w:rPr>
      </w:pPr>
      <w:r>
        <w:rPr>
          <w:b/>
        </w:rPr>
        <w:lastRenderedPageBreak/>
        <w:t>Continuous Probability Distributions</w:t>
      </w:r>
    </w:p>
    <w:p w14:paraId="6C017ED8" w14:textId="77777777" w:rsidR="008B3238" w:rsidRDefault="008B3238" w:rsidP="00AC62C8">
      <w:pPr>
        <w:rPr>
          <w:b/>
        </w:rPr>
      </w:pPr>
    </w:p>
    <w:p w14:paraId="25D96E48" w14:textId="7668BFC2" w:rsidR="008B3238" w:rsidRPr="008B3238" w:rsidRDefault="008B3238" w:rsidP="00AC62C8">
      <w:r w:rsidRPr="008B3238">
        <w:t xml:space="preserve">Density curves are </w:t>
      </w:r>
      <w:r w:rsidRPr="008B3238">
        <w:rPr>
          <w:i/>
        </w:rPr>
        <w:t>continuous probability distributions</w:t>
      </w:r>
      <w:r>
        <w:t xml:space="preserve"> – models of continuous random variables that can be used to describe </w:t>
      </w:r>
      <w:r w:rsidR="00290F18">
        <w:t>the behavior of random variables.  These models are effective tools for describing distributions and finding probabilities associated with random events.</w:t>
      </w:r>
    </w:p>
    <w:p w14:paraId="106C0548" w14:textId="77777777" w:rsidR="008B3238" w:rsidRDefault="008B3238" w:rsidP="00AC62C8">
      <w:pPr>
        <w:rPr>
          <w:b/>
        </w:rPr>
      </w:pPr>
    </w:p>
    <w:p w14:paraId="4B0CED3D" w14:textId="448CE387" w:rsidR="009D7096" w:rsidRPr="009D7096" w:rsidRDefault="009D7096" w:rsidP="00AC62C8">
      <w:pPr>
        <w:rPr>
          <w:b/>
        </w:rPr>
      </w:pPr>
      <w:r w:rsidRPr="009D7096">
        <w:rPr>
          <w:b/>
        </w:rPr>
        <w:t>Normal Curves</w:t>
      </w:r>
    </w:p>
    <w:p w14:paraId="49F61427" w14:textId="77777777" w:rsidR="009D7096" w:rsidRDefault="009D7096" w:rsidP="00AC62C8"/>
    <w:p w14:paraId="2FEEEBD1" w14:textId="49E4A8CB" w:rsidR="00290F18" w:rsidRDefault="009D7096" w:rsidP="00AC62C8">
      <w:r>
        <w:t xml:space="preserve">Normal curves are density curves </w:t>
      </w:r>
      <w:r w:rsidR="00623D5C">
        <w:t>(con</w:t>
      </w:r>
      <w:r w:rsidR="00957CEA">
        <w:t xml:space="preserve">tinuous probability distributions) </w:t>
      </w:r>
      <w:r>
        <w:t>that model symmet</w:t>
      </w:r>
      <w:r w:rsidR="00957CEA">
        <w:t>ric, bell-shaped distributions.</w:t>
      </w:r>
    </w:p>
    <w:p w14:paraId="5E14AB07" w14:textId="4B3BA2E3" w:rsidR="00623D5C" w:rsidRDefault="00957CEA" w:rsidP="00623D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AF041DA" wp14:editId="21D38901">
            <wp:extent cx="4937760" cy="1472565"/>
            <wp:effectExtent l="0" t="0" r="0" b="635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0CE0" w14:textId="0F6FB9F0" w:rsidR="00623D5C" w:rsidRPr="00623D5C" w:rsidRDefault="00623D5C" w:rsidP="00623D5C">
      <w:pPr>
        <w:rPr>
          <w:sz w:val="22"/>
          <w:szCs w:val="22"/>
        </w:rPr>
      </w:pPr>
      <w:r w:rsidRPr="00623D5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</w:t>
      </w:r>
      <m:oMath>
        <m:r>
          <w:rPr>
            <w:rFonts w:ascii="Cambria Math" w:hAnsi="Cambria Math"/>
            <w:sz w:val="22"/>
            <w:szCs w:val="22"/>
          </w:rPr>
          <m:t>μ-3σ     μ-2σ     μ-σ         μ         μ+σ      μ+2σ    μ+3σ</m:t>
        </m:r>
      </m:oMath>
    </w:p>
    <w:p w14:paraId="3253FFCD" w14:textId="77777777" w:rsidR="00BA09F3" w:rsidRDefault="00BA09F3" w:rsidP="00AC62C8"/>
    <w:p w14:paraId="3928573C" w14:textId="69FC8B0F" w:rsidR="00BA09F3" w:rsidRDefault="00957CEA" w:rsidP="00AC62C8">
      <w:r>
        <w:t>Normal curves have the following properties:</w:t>
      </w:r>
    </w:p>
    <w:p w14:paraId="065124EE" w14:textId="77777777" w:rsidR="002355E8" w:rsidRDefault="002355E8" w:rsidP="00AC62C8"/>
    <w:p w14:paraId="6F34B077" w14:textId="77777777" w:rsidR="002355E8" w:rsidRDefault="002355E8" w:rsidP="002355E8">
      <w:pPr>
        <w:pStyle w:val="ListParagraph"/>
        <w:numPr>
          <w:ilvl w:val="0"/>
          <w:numId w:val="36"/>
        </w:numPr>
        <w:ind w:left="450"/>
      </w:pPr>
      <m:oMath>
        <m:r>
          <w:rPr>
            <w:rFonts w:ascii="Cambria Math" w:hAnsi="Cambria Math"/>
          </w:rPr>
          <m:t>μ</m:t>
        </m:r>
      </m:oMath>
      <w:r>
        <w:t xml:space="preserve"> is the mean of the distribution and </w:t>
      </w:r>
      <m:oMath>
        <m:r>
          <w:rPr>
            <w:rFonts w:ascii="Cambria Math" w:hAnsi="Cambria Math"/>
          </w:rPr>
          <m:t>σ</m:t>
        </m:r>
      </m:oMath>
      <w:r>
        <w:t xml:space="preserve"> is the standard deviation of the distribution.</w:t>
      </w:r>
    </w:p>
    <w:p w14:paraId="5362B493" w14:textId="77777777" w:rsidR="002355E8" w:rsidRDefault="002355E8" w:rsidP="002355E8">
      <w:pPr>
        <w:pStyle w:val="ListParagraph"/>
        <w:numPr>
          <w:ilvl w:val="0"/>
          <w:numId w:val="36"/>
        </w:numPr>
        <w:ind w:left="450"/>
      </w:pPr>
      <w:r>
        <w:t>The total area below the curve is 1.</w:t>
      </w:r>
    </w:p>
    <w:p w14:paraId="0CB6423F" w14:textId="72027DB3" w:rsidR="002355E8" w:rsidRDefault="002355E8" w:rsidP="002355E8">
      <w:pPr>
        <w:pStyle w:val="ListParagraph"/>
        <w:numPr>
          <w:ilvl w:val="0"/>
          <w:numId w:val="36"/>
        </w:numPr>
        <w:ind w:left="450"/>
      </w:pPr>
      <w:r>
        <w:t xml:space="preserve">The curve extends endlessly in both directions, approaching, but never touching, the </w:t>
      </w:r>
      <w:r w:rsidRPr="00BA09F3">
        <w:rPr>
          <w:i/>
        </w:rPr>
        <w:t>x</w:t>
      </w:r>
      <w:r>
        <w:t>-axis.</w:t>
      </w:r>
    </w:p>
    <w:p w14:paraId="4718325E" w14:textId="77777777" w:rsidR="002355E8" w:rsidRDefault="002355E8" w:rsidP="002355E8">
      <w:pPr>
        <w:pStyle w:val="ListParagraph"/>
        <w:numPr>
          <w:ilvl w:val="0"/>
          <w:numId w:val="36"/>
        </w:numPr>
        <w:ind w:left="450"/>
      </w:pPr>
      <w:r>
        <w:t xml:space="preserve">68% of the area under the curve is between </w:t>
      </w:r>
      <m:oMath>
        <m:r>
          <w:rPr>
            <w:rFonts w:ascii="Cambria Math" w:hAnsi="Cambria Math"/>
          </w:rPr>
          <m:t>μ-σ</m:t>
        </m:r>
      </m:oMath>
      <w:r>
        <w:t xml:space="preserve"> and </w:t>
      </w:r>
      <m:oMath>
        <m:r>
          <w:rPr>
            <w:rFonts w:ascii="Cambria Math" w:hAnsi="Cambria Math"/>
          </w:rPr>
          <m:t xml:space="preserve">μ+σ; </m:t>
        </m:r>
      </m:oMath>
      <w:r>
        <w:t xml:space="preserve">95% of the area under the curve is between </w:t>
      </w:r>
      <m:oMath>
        <m:r>
          <w:rPr>
            <w:rFonts w:ascii="Cambria Math" w:hAnsi="Cambria Math"/>
          </w:rPr>
          <m:t>μ-2σ</m:t>
        </m:r>
      </m:oMath>
      <w:r>
        <w:t xml:space="preserve"> and </w:t>
      </w:r>
      <m:oMath>
        <m:r>
          <w:rPr>
            <w:rFonts w:ascii="Cambria Math" w:hAnsi="Cambria Math"/>
          </w:rPr>
          <m:t xml:space="preserve">μ+2σ; </m:t>
        </m:r>
      </m:oMath>
      <w:r>
        <w:t xml:space="preserve">and 99.7% of the area under the curve is between </w:t>
      </w:r>
      <m:oMath>
        <m:r>
          <w:rPr>
            <w:rFonts w:ascii="Cambria Math" w:hAnsi="Cambria Math"/>
          </w:rPr>
          <m:t>μ-3σ</m:t>
        </m:r>
      </m:oMath>
      <w:r>
        <w:t xml:space="preserve"> and </w:t>
      </w:r>
      <m:oMath>
        <m:r>
          <w:rPr>
            <w:rFonts w:ascii="Cambria Math" w:hAnsi="Cambria Math"/>
          </w:rPr>
          <m:t>μ+3σ</m:t>
        </m:r>
      </m:oMath>
      <w:r>
        <w:t>.</w:t>
      </w:r>
    </w:p>
    <w:p w14:paraId="7B42A60B" w14:textId="77777777" w:rsidR="00545E6F" w:rsidRDefault="00545E6F" w:rsidP="00AC62C8"/>
    <w:p w14:paraId="221738B5" w14:textId="77777777" w:rsidR="005A442F" w:rsidRDefault="005A442F" w:rsidP="005A442F">
      <w:r>
        <w:t xml:space="preserve">The image below displays two normal curves.  </w:t>
      </w:r>
    </w:p>
    <w:p w14:paraId="1799ACBF" w14:textId="7D84E915" w:rsidR="005A442F" w:rsidRDefault="005A442F" w:rsidP="005A442F">
      <w:pPr>
        <w:jc w:val="center"/>
      </w:pPr>
      <w:r>
        <w:rPr>
          <w:b/>
          <w:noProof/>
        </w:rPr>
        <w:drawing>
          <wp:inline distT="0" distB="0" distL="0" distR="0" wp14:anchorId="6EEED8B1" wp14:editId="24DA99A6">
            <wp:extent cx="4726004" cy="1442938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004" cy="144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56F25" w14:textId="77777777" w:rsidR="005A442F" w:rsidRDefault="005A442F" w:rsidP="005A442F"/>
    <w:p w14:paraId="16D25A93" w14:textId="1DBC6A2D" w:rsidR="00077541" w:rsidRDefault="005A442F" w:rsidP="005A442F">
      <w:pPr>
        <w:pStyle w:val="ListParagraph"/>
        <w:numPr>
          <w:ilvl w:val="0"/>
          <w:numId w:val="33"/>
        </w:numPr>
      </w:pPr>
      <w:r>
        <w:t xml:space="preserve">Estimate the mean </w:t>
      </w:r>
      <w:r w:rsidR="00920831">
        <w:t xml:space="preserve">of </w:t>
      </w:r>
      <w:r>
        <w:t>each curve.</w:t>
      </w:r>
    </w:p>
    <w:p w14:paraId="345AD217" w14:textId="77777777" w:rsidR="005A442F" w:rsidRDefault="005A442F" w:rsidP="005A442F"/>
    <w:p w14:paraId="6041F2C6" w14:textId="77777777" w:rsidR="00920831" w:rsidRDefault="00920831" w:rsidP="00C93DBC">
      <w:pPr>
        <w:rPr>
          <w:b/>
        </w:rPr>
      </w:pPr>
    </w:p>
    <w:p w14:paraId="4051492E" w14:textId="77777777" w:rsidR="00DF6A74" w:rsidRDefault="00DF6A74" w:rsidP="00C93DBC">
      <w:pPr>
        <w:rPr>
          <w:b/>
        </w:rPr>
      </w:pPr>
    </w:p>
    <w:p w14:paraId="34637C0C" w14:textId="5BB8DC62" w:rsidR="00920831" w:rsidRDefault="00920831" w:rsidP="00920831">
      <w:pPr>
        <w:pStyle w:val="ListParagraph"/>
        <w:numPr>
          <w:ilvl w:val="0"/>
          <w:numId w:val="33"/>
        </w:numPr>
      </w:pPr>
      <w:r>
        <w:t>Which curve has a greater standard deviation?</w:t>
      </w:r>
    </w:p>
    <w:p w14:paraId="679AB74B" w14:textId="77777777" w:rsidR="00920831" w:rsidRDefault="00920831" w:rsidP="00920831"/>
    <w:p w14:paraId="097147AD" w14:textId="77777777" w:rsidR="00DF6A74" w:rsidRDefault="00DF6A74" w:rsidP="00C93DBC">
      <w:pPr>
        <w:rPr>
          <w:b/>
        </w:rPr>
      </w:pPr>
    </w:p>
    <w:p w14:paraId="16B13FA3" w14:textId="76797619" w:rsidR="00C93DBC" w:rsidRPr="00373B2E" w:rsidRDefault="002C2B2B" w:rsidP="00C93DBC">
      <w:pPr>
        <w:rPr>
          <w:b/>
        </w:rPr>
      </w:pPr>
      <w:r>
        <w:rPr>
          <w:b/>
        </w:rPr>
        <w:lastRenderedPageBreak/>
        <w:t>Modeling Data Distributions</w:t>
      </w:r>
    </w:p>
    <w:p w14:paraId="28E31E97" w14:textId="77777777" w:rsidR="00C93DBC" w:rsidRDefault="00C93DBC" w:rsidP="00C93DBC"/>
    <w:p w14:paraId="367EF14B" w14:textId="030E9A21" w:rsidR="00DF6A74" w:rsidRDefault="00C93DBC" w:rsidP="00483DF7">
      <w:r>
        <w:t>The density histogram belo</w:t>
      </w:r>
      <w:r w:rsidR="002C2B2B">
        <w:t xml:space="preserve">w displays </w:t>
      </w:r>
      <w:r>
        <w:t xml:space="preserve">five </w:t>
      </w:r>
      <w:r w:rsidR="002C2B2B">
        <w:t>hundred middle-school students typical number of hours of sleep per night.</w:t>
      </w:r>
    </w:p>
    <w:p w14:paraId="0717343C" w14:textId="77777777" w:rsidR="00A76086" w:rsidRDefault="00A76086" w:rsidP="00483DF7"/>
    <w:p w14:paraId="05FE4F9E" w14:textId="31CD53ED" w:rsidR="005A7CD7" w:rsidRDefault="0014054F" w:rsidP="00F767B2">
      <w:pPr>
        <w:jc w:val="center"/>
      </w:pPr>
      <w:r w:rsidRPr="0014054F">
        <w:t xml:space="preserve"> </w:t>
      </w:r>
      <w:r w:rsidR="00453B53">
        <w:rPr>
          <w:noProof/>
        </w:rPr>
        <w:drawing>
          <wp:inline distT="0" distB="0" distL="0" distR="0" wp14:anchorId="7C4D1B99" wp14:editId="2954B5C0">
            <wp:extent cx="5206365" cy="2536825"/>
            <wp:effectExtent l="0" t="0" r="635" b="3175"/>
            <wp:docPr id="3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B97B0" w14:textId="77777777" w:rsidR="00DF6A74" w:rsidRDefault="00DF6A74" w:rsidP="00F767B2">
      <w:pPr>
        <w:jc w:val="center"/>
      </w:pPr>
    </w:p>
    <w:p w14:paraId="3FAD4AA0" w14:textId="1163AEDC" w:rsidR="00724FA5" w:rsidRDefault="002C2B2B" w:rsidP="00724FA5">
      <w:pPr>
        <w:pStyle w:val="ListParagraph"/>
        <w:numPr>
          <w:ilvl w:val="0"/>
          <w:numId w:val="33"/>
        </w:numPr>
      </w:pPr>
      <w:r>
        <w:t xml:space="preserve">Can this distribution be modeled </w:t>
      </w:r>
      <w:r w:rsidR="00A73C3E">
        <w:t xml:space="preserve">well </w:t>
      </w:r>
      <w:r>
        <w:t xml:space="preserve">by a </w:t>
      </w:r>
      <w:r w:rsidR="00724FA5">
        <w:t>normal</w:t>
      </w:r>
      <w:r>
        <w:t xml:space="preserve"> curve</w:t>
      </w:r>
      <w:r w:rsidR="00724FA5">
        <w:t>?  Explain.</w:t>
      </w:r>
    </w:p>
    <w:p w14:paraId="27FA2B95" w14:textId="19E3DC5F" w:rsidR="002C2B2B" w:rsidRDefault="002C2B2B" w:rsidP="002C2B2B">
      <w:pPr>
        <w:pStyle w:val="ListParagraph"/>
        <w:ind w:left="360"/>
      </w:pPr>
    </w:p>
    <w:p w14:paraId="55DB656B" w14:textId="77777777" w:rsidR="002C2B2B" w:rsidRDefault="002C2B2B" w:rsidP="002C2B2B">
      <w:pPr>
        <w:pStyle w:val="ListParagraph"/>
        <w:ind w:left="360"/>
      </w:pPr>
    </w:p>
    <w:p w14:paraId="0EC06958" w14:textId="77777777" w:rsidR="00DC46B7" w:rsidRDefault="00DC46B7" w:rsidP="002C2B2B">
      <w:pPr>
        <w:pStyle w:val="ListParagraph"/>
        <w:ind w:left="360"/>
      </w:pPr>
    </w:p>
    <w:p w14:paraId="2CB49D10" w14:textId="5246BB94" w:rsidR="002C2B2B" w:rsidRDefault="002C2B2B" w:rsidP="00724FA5">
      <w:pPr>
        <w:pStyle w:val="ListParagraph"/>
        <w:numPr>
          <w:ilvl w:val="0"/>
          <w:numId w:val="33"/>
        </w:numPr>
      </w:pPr>
      <w:r>
        <w:t>Estimate the</w:t>
      </w:r>
      <w:r w:rsidR="005A7CD7">
        <w:t xml:space="preserve"> mean and standard deviation of the distribution.</w:t>
      </w:r>
    </w:p>
    <w:p w14:paraId="11EF096B" w14:textId="77777777" w:rsidR="00724FA5" w:rsidRDefault="00724FA5" w:rsidP="00724FA5">
      <w:pPr>
        <w:pStyle w:val="ListParagraph"/>
        <w:ind w:left="360"/>
      </w:pPr>
    </w:p>
    <w:p w14:paraId="23372185" w14:textId="77777777" w:rsidR="00DF6A74" w:rsidRDefault="00DF6A74" w:rsidP="00724FA5">
      <w:pPr>
        <w:pStyle w:val="ListParagraph"/>
        <w:ind w:left="360"/>
      </w:pPr>
    </w:p>
    <w:p w14:paraId="1C6E613F" w14:textId="77777777" w:rsidR="005A7CD7" w:rsidRDefault="005A7CD7" w:rsidP="00724FA5">
      <w:pPr>
        <w:pStyle w:val="ListParagraph"/>
        <w:ind w:left="360"/>
      </w:pPr>
    </w:p>
    <w:p w14:paraId="71A98F13" w14:textId="5E5C2F42" w:rsidR="00DF6A74" w:rsidRDefault="00DF6A74" w:rsidP="00DF6A74">
      <w:pPr>
        <w:pStyle w:val="ListParagraph"/>
        <w:numPr>
          <w:ilvl w:val="0"/>
          <w:numId w:val="33"/>
        </w:numPr>
      </w:pPr>
      <w:r>
        <w:t xml:space="preserve">Sketch a normal curve on the density histogram above.  Draw a curve that begins and ends near the </w:t>
      </w:r>
      <w:r w:rsidRPr="00920831">
        <w:rPr>
          <w:i/>
        </w:rPr>
        <w:t>x</w:t>
      </w:r>
      <w:r>
        <w:t xml:space="preserve">-axis and intersects the </w:t>
      </w:r>
      <w:r w:rsidR="00D76BE8">
        <w:t>top</w:t>
      </w:r>
      <w:r>
        <w:t xml:space="preserve"> of the bars.  </w:t>
      </w:r>
    </w:p>
    <w:p w14:paraId="79A07833" w14:textId="77777777" w:rsidR="00FC63EA" w:rsidRDefault="00FC63EA" w:rsidP="005A7CD7"/>
    <w:p w14:paraId="41EB347F" w14:textId="189D5CAD" w:rsidR="00FC63EA" w:rsidRDefault="00FC63EA" w:rsidP="00FC63EA">
      <w:pPr>
        <w:pStyle w:val="ListParagraph"/>
        <w:numPr>
          <w:ilvl w:val="0"/>
          <w:numId w:val="33"/>
        </w:numPr>
      </w:pPr>
      <w:r>
        <w:t xml:space="preserve">Show the area below the normal curve that corresponds to the percent of random variable values </w:t>
      </w:r>
      <w:r w:rsidR="00F84F1C">
        <w:t xml:space="preserve">that are </w:t>
      </w:r>
      <w:r w:rsidR="00CD3990">
        <w:t xml:space="preserve">less than 7.8.  </w:t>
      </w:r>
      <w:r w:rsidR="0003004C">
        <w:t>Use geometry to estimate this percentage.</w:t>
      </w:r>
    </w:p>
    <w:p w14:paraId="6A0E9D37" w14:textId="77777777" w:rsidR="0003004C" w:rsidRDefault="0003004C" w:rsidP="0003004C"/>
    <w:p w14:paraId="25C94074" w14:textId="77777777" w:rsidR="00FC63EA" w:rsidRDefault="00FC63EA" w:rsidP="00FC63EA"/>
    <w:p w14:paraId="552C24AD" w14:textId="77777777" w:rsidR="00DF6A74" w:rsidRDefault="00DF6A74" w:rsidP="00FC63EA"/>
    <w:p w14:paraId="1987D239" w14:textId="77777777" w:rsidR="00DF6A74" w:rsidRDefault="00DF6A74" w:rsidP="00FC63EA"/>
    <w:p w14:paraId="0A209B55" w14:textId="14023F56" w:rsidR="00FC63EA" w:rsidRDefault="00FC63EA" w:rsidP="00FC63EA">
      <w:pPr>
        <w:pStyle w:val="ListParagraph"/>
        <w:numPr>
          <w:ilvl w:val="0"/>
          <w:numId w:val="33"/>
        </w:numPr>
      </w:pPr>
      <w:r>
        <w:t xml:space="preserve">Show the area below the normal curve that corresponds to the probability that a randomly selected value is between 8.8 and 10.5.  </w:t>
      </w:r>
      <w:r w:rsidR="005155C0">
        <w:t xml:space="preserve">Use geometry to estimate this </w:t>
      </w:r>
      <w:r w:rsidR="00CC5DC4">
        <w:t>probability.</w:t>
      </w:r>
    </w:p>
    <w:p w14:paraId="7FF43701" w14:textId="77777777" w:rsidR="00FC63EA" w:rsidRDefault="00FC63EA" w:rsidP="00FC63EA">
      <w:pPr>
        <w:pStyle w:val="ListParagraph"/>
        <w:ind w:left="360"/>
      </w:pPr>
    </w:p>
    <w:p w14:paraId="2DB11764" w14:textId="77777777" w:rsidR="00FC63EA" w:rsidRDefault="00FC63EA" w:rsidP="00F767B2"/>
    <w:p w14:paraId="150DA8FC" w14:textId="77777777" w:rsidR="00DF6A74" w:rsidRDefault="00DF6A74" w:rsidP="00F767B2"/>
    <w:p w14:paraId="1A2E736B" w14:textId="77777777" w:rsidR="00DF6A74" w:rsidRDefault="00DF6A74" w:rsidP="00F767B2"/>
    <w:p w14:paraId="2ABA0F4D" w14:textId="12720197" w:rsidR="009A6AE4" w:rsidRDefault="00FC63EA" w:rsidP="00FC63EA">
      <w:pPr>
        <w:pStyle w:val="ListParagraph"/>
        <w:numPr>
          <w:ilvl w:val="0"/>
          <w:numId w:val="33"/>
        </w:numPr>
      </w:pPr>
      <w:r>
        <w:t xml:space="preserve">What values of the random variable could be considered unusual? </w:t>
      </w:r>
    </w:p>
    <w:p w14:paraId="5FCB0574" w14:textId="77777777" w:rsidR="00F767B2" w:rsidRDefault="00F767B2" w:rsidP="00F767B2">
      <w:pPr>
        <w:pStyle w:val="ListParagraph"/>
        <w:ind w:left="360"/>
      </w:pPr>
    </w:p>
    <w:p w14:paraId="0A9D2F4D" w14:textId="3EFB9912" w:rsidR="00F767B2" w:rsidRPr="0014054F" w:rsidRDefault="00F767B2" w:rsidP="0014054F">
      <w:pPr>
        <w:ind w:left="360"/>
        <w:rPr>
          <w:color w:val="FF0000"/>
        </w:rPr>
      </w:pPr>
    </w:p>
    <w:sectPr w:rsidR="00F767B2" w:rsidRPr="0014054F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3BE6C" w14:textId="77777777" w:rsidR="00452673" w:rsidRDefault="00452673" w:rsidP="0085319D">
      <w:r>
        <w:separator/>
      </w:r>
    </w:p>
  </w:endnote>
  <w:endnote w:type="continuationSeparator" w:id="0">
    <w:p w14:paraId="01624D49" w14:textId="77777777" w:rsidR="00452673" w:rsidRDefault="0045267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453B53" w:rsidRDefault="00453B5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453B53" w:rsidRDefault="00453B5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1574BC5C" w:rsidR="00453B53" w:rsidRPr="00756CE3" w:rsidRDefault="00453B53" w:rsidP="00E16F03">
    <w:pPr>
      <w:pStyle w:val="Footer"/>
      <w:pBdr>
        <w:top w:val="single" w:sz="4" w:space="1" w:color="auto"/>
      </w:pBdr>
      <w:tabs>
        <w:tab w:val="left" w:pos="1543"/>
      </w:tabs>
      <w:rPr>
        <w:szCs w:val="20"/>
      </w:rPr>
    </w:pPr>
    <w:r>
      <w:rPr>
        <w:sz w:val="20"/>
        <w:szCs w:val="20"/>
      </w:rPr>
      <w:t>A</w:t>
    </w:r>
    <w:r w:rsidR="00E16F03">
      <w:rPr>
        <w:sz w:val="20"/>
        <w:szCs w:val="20"/>
      </w:rPr>
      <w:t>ctivity 7.5.3</w:t>
    </w:r>
    <w:r>
      <w:rPr>
        <w:sz w:val="20"/>
        <w:szCs w:val="20"/>
      </w:rPr>
      <w:tab/>
    </w:r>
    <w:r w:rsidR="00E16F03">
      <w:rPr>
        <w:sz w:val="20"/>
        <w:szCs w:val="20"/>
      </w:rPr>
      <w:tab/>
    </w:r>
    <w:r>
      <w:rPr>
        <w:sz w:val="20"/>
        <w:szCs w:val="20"/>
      </w:rPr>
      <w:t xml:space="preserve">                </w:t>
    </w:r>
    <w:r>
      <w:rPr>
        <w:sz w:val="20"/>
        <w:szCs w:val="20"/>
      </w:rPr>
      <w:tab/>
      <w:t>Connecticut Cor</w:t>
    </w:r>
    <w:r w:rsidR="00E621F2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453B53" w:rsidRPr="006F1A81" w:rsidRDefault="00453B5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66F3A" w14:textId="77777777" w:rsidR="00452673" w:rsidRDefault="00452673" w:rsidP="0085319D">
      <w:r>
        <w:separator/>
      </w:r>
    </w:p>
  </w:footnote>
  <w:footnote w:type="continuationSeparator" w:id="0">
    <w:p w14:paraId="4E49C1F4" w14:textId="77777777" w:rsidR="00452673" w:rsidRDefault="0045267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453B53" w:rsidRDefault="00453B5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453B53" w:rsidRDefault="00453B5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453B53" w:rsidRDefault="00453B5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06750ED0" w:rsidR="00453B53" w:rsidRDefault="00453B5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621F2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r w:rsidR="00452673">
          <w:fldChar w:fldCharType="begin"/>
        </w:r>
        <w:r w:rsidR="00452673">
          <w:instrText xml:space="preserve"> NUMPAGES  </w:instrText>
        </w:r>
        <w:r w:rsidR="00452673">
          <w:fldChar w:fldCharType="separate"/>
        </w:r>
        <w:r w:rsidR="00E621F2">
          <w:rPr>
            <w:noProof/>
          </w:rPr>
          <w:t>6</w:t>
        </w:r>
        <w:r w:rsidR="0045267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453B53" w:rsidRDefault="00453B5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52673">
          <w:fldChar w:fldCharType="begin"/>
        </w:r>
        <w:r w:rsidR="00452673">
          <w:instrText xml:space="preserve"> NUMPAGES  </w:instrText>
        </w:r>
        <w:r w:rsidR="00452673">
          <w:fldChar w:fldCharType="separate"/>
        </w:r>
        <w:r w:rsidR="00190A70">
          <w:rPr>
            <w:noProof/>
          </w:rPr>
          <w:t>6</w:t>
        </w:r>
        <w:r w:rsidR="0045267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1"/>
  </w:num>
  <w:num w:numId="4">
    <w:abstractNumId w:val="24"/>
  </w:num>
  <w:num w:numId="5">
    <w:abstractNumId w:val="16"/>
  </w:num>
  <w:num w:numId="6">
    <w:abstractNumId w:val="9"/>
  </w:num>
  <w:num w:numId="7">
    <w:abstractNumId w:val="30"/>
  </w:num>
  <w:num w:numId="8">
    <w:abstractNumId w:val="35"/>
  </w:num>
  <w:num w:numId="9">
    <w:abstractNumId w:val="19"/>
  </w:num>
  <w:num w:numId="10">
    <w:abstractNumId w:val="4"/>
  </w:num>
  <w:num w:numId="11">
    <w:abstractNumId w:val="13"/>
  </w:num>
  <w:num w:numId="12">
    <w:abstractNumId w:val="36"/>
  </w:num>
  <w:num w:numId="13">
    <w:abstractNumId w:val="10"/>
  </w:num>
  <w:num w:numId="14">
    <w:abstractNumId w:val="2"/>
  </w:num>
  <w:num w:numId="15">
    <w:abstractNumId w:val="0"/>
  </w:num>
  <w:num w:numId="16">
    <w:abstractNumId w:val="27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2"/>
  </w:num>
  <w:num w:numId="23">
    <w:abstractNumId w:val="34"/>
  </w:num>
  <w:num w:numId="24">
    <w:abstractNumId w:val="22"/>
  </w:num>
  <w:num w:numId="25">
    <w:abstractNumId w:val="23"/>
  </w:num>
  <w:num w:numId="26">
    <w:abstractNumId w:val="28"/>
  </w:num>
  <w:num w:numId="27">
    <w:abstractNumId w:val="8"/>
  </w:num>
  <w:num w:numId="28">
    <w:abstractNumId w:val="21"/>
  </w:num>
  <w:num w:numId="29">
    <w:abstractNumId w:val="17"/>
  </w:num>
  <w:num w:numId="30">
    <w:abstractNumId w:val="20"/>
  </w:num>
  <w:num w:numId="31">
    <w:abstractNumId w:val="7"/>
  </w:num>
  <w:num w:numId="32">
    <w:abstractNumId w:val="33"/>
  </w:num>
  <w:num w:numId="33">
    <w:abstractNumId w:val="32"/>
  </w:num>
  <w:num w:numId="34">
    <w:abstractNumId w:val="15"/>
  </w:num>
  <w:num w:numId="35">
    <w:abstractNumId w:val="11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057A"/>
    <w:rsid w:val="00016196"/>
    <w:rsid w:val="00016221"/>
    <w:rsid w:val="0001678A"/>
    <w:rsid w:val="00016E37"/>
    <w:rsid w:val="0002255B"/>
    <w:rsid w:val="000255A8"/>
    <w:rsid w:val="00026760"/>
    <w:rsid w:val="0003004C"/>
    <w:rsid w:val="00042BDD"/>
    <w:rsid w:val="000430E1"/>
    <w:rsid w:val="00054550"/>
    <w:rsid w:val="000549F8"/>
    <w:rsid w:val="00074433"/>
    <w:rsid w:val="00077541"/>
    <w:rsid w:val="000804D9"/>
    <w:rsid w:val="000818CE"/>
    <w:rsid w:val="00082B58"/>
    <w:rsid w:val="00084365"/>
    <w:rsid w:val="00087789"/>
    <w:rsid w:val="000A295F"/>
    <w:rsid w:val="000A69EC"/>
    <w:rsid w:val="000C08AB"/>
    <w:rsid w:val="000C75BD"/>
    <w:rsid w:val="000D0F73"/>
    <w:rsid w:val="000D50FF"/>
    <w:rsid w:val="000E3ED3"/>
    <w:rsid w:val="000E6EEB"/>
    <w:rsid w:val="001128D4"/>
    <w:rsid w:val="00124E2B"/>
    <w:rsid w:val="0014054F"/>
    <w:rsid w:val="00147739"/>
    <w:rsid w:val="00152F3E"/>
    <w:rsid w:val="00161443"/>
    <w:rsid w:val="00164777"/>
    <w:rsid w:val="00173972"/>
    <w:rsid w:val="00174E48"/>
    <w:rsid w:val="00181D29"/>
    <w:rsid w:val="00184463"/>
    <w:rsid w:val="00184A91"/>
    <w:rsid w:val="0018581A"/>
    <w:rsid w:val="00187F72"/>
    <w:rsid w:val="00190A70"/>
    <w:rsid w:val="0019436E"/>
    <w:rsid w:val="001943D1"/>
    <w:rsid w:val="001943DE"/>
    <w:rsid w:val="00196952"/>
    <w:rsid w:val="00197BF0"/>
    <w:rsid w:val="001A0149"/>
    <w:rsid w:val="001A1CBD"/>
    <w:rsid w:val="001A6EBB"/>
    <w:rsid w:val="001B248B"/>
    <w:rsid w:val="001B4DF9"/>
    <w:rsid w:val="001C1E17"/>
    <w:rsid w:val="001C59E6"/>
    <w:rsid w:val="001C7FBF"/>
    <w:rsid w:val="001D32CD"/>
    <w:rsid w:val="001D5909"/>
    <w:rsid w:val="001D63CF"/>
    <w:rsid w:val="001E0BC6"/>
    <w:rsid w:val="001E6F12"/>
    <w:rsid w:val="001F204F"/>
    <w:rsid w:val="001F3BCC"/>
    <w:rsid w:val="001F4245"/>
    <w:rsid w:val="001F6C83"/>
    <w:rsid w:val="00212686"/>
    <w:rsid w:val="002209E4"/>
    <w:rsid w:val="002214BB"/>
    <w:rsid w:val="0022535A"/>
    <w:rsid w:val="002355E8"/>
    <w:rsid w:val="0023646A"/>
    <w:rsid w:val="00246C73"/>
    <w:rsid w:val="002529A9"/>
    <w:rsid w:val="00262835"/>
    <w:rsid w:val="00264A5C"/>
    <w:rsid w:val="00267B0D"/>
    <w:rsid w:val="00281B46"/>
    <w:rsid w:val="002868D9"/>
    <w:rsid w:val="002907DC"/>
    <w:rsid w:val="00290F18"/>
    <w:rsid w:val="002952AA"/>
    <w:rsid w:val="00296145"/>
    <w:rsid w:val="002971E9"/>
    <w:rsid w:val="002A1361"/>
    <w:rsid w:val="002A5F52"/>
    <w:rsid w:val="002A7D31"/>
    <w:rsid w:val="002B78AA"/>
    <w:rsid w:val="002C2B2B"/>
    <w:rsid w:val="002C3D03"/>
    <w:rsid w:val="002C48D2"/>
    <w:rsid w:val="002C5183"/>
    <w:rsid w:val="002D03F2"/>
    <w:rsid w:val="002D2002"/>
    <w:rsid w:val="002D3A0C"/>
    <w:rsid w:val="002E1EA3"/>
    <w:rsid w:val="002E212A"/>
    <w:rsid w:val="00304C8C"/>
    <w:rsid w:val="003122C7"/>
    <w:rsid w:val="003122F0"/>
    <w:rsid w:val="00332901"/>
    <w:rsid w:val="003415DA"/>
    <w:rsid w:val="00351C45"/>
    <w:rsid w:val="0035387B"/>
    <w:rsid w:val="00355084"/>
    <w:rsid w:val="00355F0C"/>
    <w:rsid w:val="003634D3"/>
    <w:rsid w:val="00364684"/>
    <w:rsid w:val="00365FB5"/>
    <w:rsid w:val="00367CEA"/>
    <w:rsid w:val="00373B2E"/>
    <w:rsid w:val="00375A6D"/>
    <w:rsid w:val="003766C8"/>
    <w:rsid w:val="00380484"/>
    <w:rsid w:val="003825F8"/>
    <w:rsid w:val="00384B26"/>
    <w:rsid w:val="0039392A"/>
    <w:rsid w:val="00397879"/>
    <w:rsid w:val="003B06EF"/>
    <w:rsid w:val="003B543B"/>
    <w:rsid w:val="003C057D"/>
    <w:rsid w:val="003C517F"/>
    <w:rsid w:val="003C5CA2"/>
    <w:rsid w:val="003E3927"/>
    <w:rsid w:val="003E453D"/>
    <w:rsid w:val="003F5A3A"/>
    <w:rsid w:val="00401471"/>
    <w:rsid w:val="004051A5"/>
    <w:rsid w:val="00405FF2"/>
    <w:rsid w:val="00407AD5"/>
    <w:rsid w:val="00410D36"/>
    <w:rsid w:val="00414AD3"/>
    <w:rsid w:val="0042097A"/>
    <w:rsid w:val="004231E0"/>
    <w:rsid w:val="00425707"/>
    <w:rsid w:val="00430765"/>
    <w:rsid w:val="00440014"/>
    <w:rsid w:val="0044583D"/>
    <w:rsid w:val="00446858"/>
    <w:rsid w:val="00450AC5"/>
    <w:rsid w:val="00452673"/>
    <w:rsid w:val="00453B53"/>
    <w:rsid w:val="004625C4"/>
    <w:rsid w:val="0046508C"/>
    <w:rsid w:val="00471EE0"/>
    <w:rsid w:val="00480D43"/>
    <w:rsid w:val="0048384B"/>
    <w:rsid w:val="00483DF7"/>
    <w:rsid w:val="00484809"/>
    <w:rsid w:val="00485BF9"/>
    <w:rsid w:val="00490E7C"/>
    <w:rsid w:val="004910B1"/>
    <w:rsid w:val="00494E97"/>
    <w:rsid w:val="004A3FA0"/>
    <w:rsid w:val="004A4670"/>
    <w:rsid w:val="004A7A39"/>
    <w:rsid w:val="004B7351"/>
    <w:rsid w:val="004B76D1"/>
    <w:rsid w:val="004B7E1E"/>
    <w:rsid w:val="004C0ADB"/>
    <w:rsid w:val="004C59BB"/>
    <w:rsid w:val="004D36A5"/>
    <w:rsid w:val="004E46ED"/>
    <w:rsid w:val="004E54DF"/>
    <w:rsid w:val="004F7690"/>
    <w:rsid w:val="00501DE8"/>
    <w:rsid w:val="00503258"/>
    <w:rsid w:val="0051177C"/>
    <w:rsid w:val="00514539"/>
    <w:rsid w:val="005155C0"/>
    <w:rsid w:val="00520BFF"/>
    <w:rsid w:val="00532891"/>
    <w:rsid w:val="005374A1"/>
    <w:rsid w:val="00545E6F"/>
    <w:rsid w:val="00565181"/>
    <w:rsid w:val="005739C3"/>
    <w:rsid w:val="00574012"/>
    <w:rsid w:val="005862B8"/>
    <w:rsid w:val="005979AD"/>
    <w:rsid w:val="005A0B55"/>
    <w:rsid w:val="005A442F"/>
    <w:rsid w:val="005A7CD7"/>
    <w:rsid w:val="005A7D79"/>
    <w:rsid w:val="005D20ED"/>
    <w:rsid w:val="005D7946"/>
    <w:rsid w:val="005F5327"/>
    <w:rsid w:val="006001A9"/>
    <w:rsid w:val="00623D5C"/>
    <w:rsid w:val="00626C2F"/>
    <w:rsid w:val="006276E5"/>
    <w:rsid w:val="00630603"/>
    <w:rsid w:val="00632F5E"/>
    <w:rsid w:val="006337EA"/>
    <w:rsid w:val="0063469C"/>
    <w:rsid w:val="00636096"/>
    <w:rsid w:val="00640F8C"/>
    <w:rsid w:val="00651312"/>
    <w:rsid w:val="00653B43"/>
    <w:rsid w:val="006609E8"/>
    <w:rsid w:val="006620C4"/>
    <w:rsid w:val="00666114"/>
    <w:rsid w:val="00671388"/>
    <w:rsid w:val="00686D0F"/>
    <w:rsid w:val="006A20A8"/>
    <w:rsid w:val="006A217E"/>
    <w:rsid w:val="006A4411"/>
    <w:rsid w:val="006B7BF9"/>
    <w:rsid w:val="006C0338"/>
    <w:rsid w:val="006C0754"/>
    <w:rsid w:val="006C1857"/>
    <w:rsid w:val="006D71DC"/>
    <w:rsid w:val="006D75D9"/>
    <w:rsid w:val="006F1A81"/>
    <w:rsid w:val="00701506"/>
    <w:rsid w:val="007023B9"/>
    <w:rsid w:val="00712EBE"/>
    <w:rsid w:val="007164C8"/>
    <w:rsid w:val="00723B8F"/>
    <w:rsid w:val="00724802"/>
    <w:rsid w:val="00724FA5"/>
    <w:rsid w:val="00744FE0"/>
    <w:rsid w:val="00756CE3"/>
    <w:rsid w:val="00760B6E"/>
    <w:rsid w:val="00763CB2"/>
    <w:rsid w:val="007676CA"/>
    <w:rsid w:val="007725FD"/>
    <w:rsid w:val="0077414B"/>
    <w:rsid w:val="00774938"/>
    <w:rsid w:val="0077563B"/>
    <w:rsid w:val="00780570"/>
    <w:rsid w:val="007842B7"/>
    <w:rsid w:val="00785F80"/>
    <w:rsid w:val="007912EC"/>
    <w:rsid w:val="00795F65"/>
    <w:rsid w:val="00796131"/>
    <w:rsid w:val="007A0006"/>
    <w:rsid w:val="007A1F56"/>
    <w:rsid w:val="007B06F1"/>
    <w:rsid w:val="007B0FF1"/>
    <w:rsid w:val="007B1200"/>
    <w:rsid w:val="007B2129"/>
    <w:rsid w:val="007B3F40"/>
    <w:rsid w:val="007B6EBB"/>
    <w:rsid w:val="007C5E46"/>
    <w:rsid w:val="007E4595"/>
    <w:rsid w:val="007F537B"/>
    <w:rsid w:val="007F7BDC"/>
    <w:rsid w:val="00801058"/>
    <w:rsid w:val="008113A7"/>
    <w:rsid w:val="0081546E"/>
    <w:rsid w:val="008162CC"/>
    <w:rsid w:val="00817D19"/>
    <w:rsid w:val="008216E9"/>
    <w:rsid w:val="00830B8F"/>
    <w:rsid w:val="0083373E"/>
    <w:rsid w:val="00836A1B"/>
    <w:rsid w:val="0084593A"/>
    <w:rsid w:val="0085319D"/>
    <w:rsid w:val="00856377"/>
    <w:rsid w:val="00863B63"/>
    <w:rsid w:val="00867000"/>
    <w:rsid w:val="00883E1D"/>
    <w:rsid w:val="00883EFD"/>
    <w:rsid w:val="00886A00"/>
    <w:rsid w:val="008906E2"/>
    <w:rsid w:val="00893BB9"/>
    <w:rsid w:val="0089654C"/>
    <w:rsid w:val="00896F10"/>
    <w:rsid w:val="00896F74"/>
    <w:rsid w:val="00897338"/>
    <w:rsid w:val="008979AA"/>
    <w:rsid w:val="008A1036"/>
    <w:rsid w:val="008A393B"/>
    <w:rsid w:val="008A3E30"/>
    <w:rsid w:val="008B3238"/>
    <w:rsid w:val="008B3BCE"/>
    <w:rsid w:val="008C6E07"/>
    <w:rsid w:val="008D6B60"/>
    <w:rsid w:val="008E2435"/>
    <w:rsid w:val="008E5B62"/>
    <w:rsid w:val="008E6A89"/>
    <w:rsid w:val="008F183C"/>
    <w:rsid w:val="00913078"/>
    <w:rsid w:val="00920831"/>
    <w:rsid w:val="009229CF"/>
    <w:rsid w:val="00927825"/>
    <w:rsid w:val="009309CE"/>
    <w:rsid w:val="009432C2"/>
    <w:rsid w:val="009569D8"/>
    <w:rsid w:val="00957CEA"/>
    <w:rsid w:val="009611AA"/>
    <w:rsid w:val="00974F12"/>
    <w:rsid w:val="00981842"/>
    <w:rsid w:val="00983C82"/>
    <w:rsid w:val="009849C7"/>
    <w:rsid w:val="00986730"/>
    <w:rsid w:val="00992898"/>
    <w:rsid w:val="00993BC5"/>
    <w:rsid w:val="009A68BF"/>
    <w:rsid w:val="009A6AE4"/>
    <w:rsid w:val="009B0C7C"/>
    <w:rsid w:val="009B6D33"/>
    <w:rsid w:val="009C1B30"/>
    <w:rsid w:val="009C3688"/>
    <w:rsid w:val="009C3992"/>
    <w:rsid w:val="009D0E91"/>
    <w:rsid w:val="009D2170"/>
    <w:rsid w:val="009D7096"/>
    <w:rsid w:val="009E1E83"/>
    <w:rsid w:val="009E7935"/>
    <w:rsid w:val="009F3420"/>
    <w:rsid w:val="00A03BC5"/>
    <w:rsid w:val="00A0537B"/>
    <w:rsid w:val="00A106C9"/>
    <w:rsid w:val="00A11ECA"/>
    <w:rsid w:val="00A1376F"/>
    <w:rsid w:val="00A43F50"/>
    <w:rsid w:val="00A46408"/>
    <w:rsid w:val="00A54E6D"/>
    <w:rsid w:val="00A61A68"/>
    <w:rsid w:val="00A70BC5"/>
    <w:rsid w:val="00A73C3E"/>
    <w:rsid w:val="00A76086"/>
    <w:rsid w:val="00A905E8"/>
    <w:rsid w:val="00A92A8F"/>
    <w:rsid w:val="00AB14AB"/>
    <w:rsid w:val="00AC62C8"/>
    <w:rsid w:val="00AE48A5"/>
    <w:rsid w:val="00B0156F"/>
    <w:rsid w:val="00B02C98"/>
    <w:rsid w:val="00B035CC"/>
    <w:rsid w:val="00B05E6A"/>
    <w:rsid w:val="00B13A2F"/>
    <w:rsid w:val="00B15477"/>
    <w:rsid w:val="00B1551A"/>
    <w:rsid w:val="00B15DA5"/>
    <w:rsid w:val="00B16CAF"/>
    <w:rsid w:val="00B211AE"/>
    <w:rsid w:val="00B21AD1"/>
    <w:rsid w:val="00B233EF"/>
    <w:rsid w:val="00B2686F"/>
    <w:rsid w:val="00B26B2C"/>
    <w:rsid w:val="00B33EA3"/>
    <w:rsid w:val="00B33FA6"/>
    <w:rsid w:val="00B3464A"/>
    <w:rsid w:val="00B54359"/>
    <w:rsid w:val="00B563E9"/>
    <w:rsid w:val="00B62ED3"/>
    <w:rsid w:val="00B7011F"/>
    <w:rsid w:val="00B773EF"/>
    <w:rsid w:val="00B80D84"/>
    <w:rsid w:val="00B84CFD"/>
    <w:rsid w:val="00B92495"/>
    <w:rsid w:val="00B94A05"/>
    <w:rsid w:val="00B96054"/>
    <w:rsid w:val="00B963E7"/>
    <w:rsid w:val="00B96728"/>
    <w:rsid w:val="00B969C1"/>
    <w:rsid w:val="00B97DC6"/>
    <w:rsid w:val="00BA09F3"/>
    <w:rsid w:val="00BB1297"/>
    <w:rsid w:val="00BB249A"/>
    <w:rsid w:val="00BB3893"/>
    <w:rsid w:val="00BC275F"/>
    <w:rsid w:val="00BC43CA"/>
    <w:rsid w:val="00BD0EA4"/>
    <w:rsid w:val="00BD6218"/>
    <w:rsid w:val="00BE3ABE"/>
    <w:rsid w:val="00BF3CBE"/>
    <w:rsid w:val="00C00EA0"/>
    <w:rsid w:val="00C064CE"/>
    <w:rsid w:val="00C1725D"/>
    <w:rsid w:val="00C326DA"/>
    <w:rsid w:val="00C413D5"/>
    <w:rsid w:val="00C4660B"/>
    <w:rsid w:val="00C53A4A"/>
    <w:rsid w:val="00C57A34"/>
    <w:rsid w:val="00C702AE"/>
    <w:rsid w:val="00C70C0C"/>
    <w:rsid w:val="00C72126"/>
    <w:rsid w:val="00C8371D"/>
    <w:rsid w:val="00C93DBC"/>
    <w:rsid w:val="00CA4044"/>
    <w:rsid w:val="00CB4BE2"/>
    <w:rsid w:val="00CC1CDC"/>
    <w:rsid w:val="00CC5DC4"/>
    <w:rsid w:val="00CD1FC7"/>
    <w:rsid w:val="00CD3990"/>
    <w:rsid w:val="00CE125A"/>
    <w:rsid w:val="00CE14F8"/>
    <w:rsid w:val="00CF4D56"/>
    <w:rsid w:val="00D00ECB"/>
    <w:rsid w:val="00D056CA"/>
    <w:rsid w:val="00D1360C"/>
    <w:rsid w:val="00D15022"/>
    <w:rsid w:val="00D24FDB"/>
    <w:rsid w:val="00D2512E"/>
    <w:rsid w:val="00D27846"/>
    <w:rsid w:val="00D335CC"/>
    <w:rsid w:val="00D344B1"/>
    <w:rsid w:val="00D4333F"/>
    <w:rsid w:val="00D52693"/>
    <w:rsid w:val="00D55657"/>
    <w:rsid w:val="00D656C3"/>
    <w:rsid w:val="00D65BA7"/>
    <w:rsid w:val="00D705BC"/>
    <w:rsid w:val="00D76BE8"/>
    <w:rsid w:val="00D948D3"/>
    <w:rsid w:val="00DA68A6"/>
    <w:rsid w:val="00DB2972"/>
    <w:rsid w:val="00DC46B7"/>
    <w:rsid w:val="00DE36E5"/>
    <w:rsid w:val="00DE7CD3"/>
    <w:rsid w:val="00DF6A74"/>
    <w:rsid w:val="00E16F03"/>
    <w:rsid w:val="00E31018"/>
    <w:rsid w:val="00E4163E"/>
    <w:rsid w:val="00E56DC9"/>
    <w:rsid w:val="00E621F2"/>
    <w:rsid w:val="00E767AE"/>
    <w:rsid w:val="00E8025C"/>
    <w:rsid w:val="00E80ED0"/>
    <w:rsid w:val="00E8365B"/>
    <w:rsid w:val="00E91202"/>
    <w:rsid w:val="00E973D2"/>
    <w:rsid w:val="00EA190F"/>
    <w:rsid w:val="00EA340B"/>
    <w:rsid w:val="00EB0DF7"/>
    <w:rsid w:val="00EB18E9"/>
    <w:rsid w:val="00EB701B"/>
    <w:rsid w:val="00EC402F"/>
    <w:rsid w:val="00EC5AB6"/>
    <w:rsid w:val="00EE2491"/>
    <w:rsid w:val="00EF2F51"/>
    <w:rsid w:val="00F22A06"/>
    <w:rsid w:val="00F26EB8"/>
    <w:rsid w:val="00F344F7"/>
    <w:rsid w:val="00F34A86"/>
    <w:rsid w:val="00F35536"/>
    <w:rsid w:val="00F36F33"/>
    <w:rsid w:val="00F40AC2"/>
    <w:rsid w:val="00F438D7"/>
    <w:rsid w:val="00F44680"/>
    <w:rsid w:val="00F459B7"/>
    <w:rsid w:val="00F47C2F"/>
    <w:rsid w:val="00F73092"/>
    <w:rsid w:val="00F767B2"/>
    <w:rsid w:val="00F84F1C"/>
    <w:rsid w:val="00F90534"/>
    <w:rsid w:val="00F90766"/>
    <w:rsid w:val="00F90CFF"/>
    <w:rsid w:val="00FA0C4F"/>
    <w:rsid w:val="00FA4DDC"/>
    <w:rsid w:val="00FC0D1F"/>
    <w:rsid w:val="00FC4BDE"/>
    <w:rsid w:val="00FC63EA"/>
    <w:rsid w:val="00FC6FD4"/>
    <w:rsid w:val="00FC7108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DA9683-4580-43F2-995E-B7729338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2015-08-01T18:11:00Z</cp:lastPrinted>
  <dcterms:created xsi:type="dcterms:W3CDTF">2015-08-07T20:41:00Z</dcterms:created>
  <dcterms:modified xsi:type="dcterms:W3CDTF">2016-01-23T16:34:00Z</dcterms:modified>
</cp:coreProperties>
</file>